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53AA2" w14:textId="77777777" w:rsidR="002F7789" w:rsidRPr="00780D70" w:rsidRDefault="002F7789" w:rsidP="002F7789">
      <w:pPr>
        <w:jc w:val="center"/>
        <w:rPr>
          <w:b/>
          <w:bCs/>
          <w:sz w:val="32"/>
          <w:szCs w:val="32"/>
          <w:lang w:val="en-US"/>
        </w:rPr>
      </w:pPr>
      <w:r w:rsidRPr="00780D70">
        <w:rPr>
          <w:b/>
          <w:bCs/>
          <w:sz w:val="32"/>
          <w:szCs w:val="32"/>
          <w:lang w:val="en-US"/>
        </w:rPr>
        <w:t>Appendix A</w:t>
      </w:r>
    </w:p>
    <w:p w14:paraId="1D073DEF" w14:textId="77777777" w:rsidR="002F7789" w:rsidRDefault="002F7789" w:rsidP="002F7789">
      <w:pPr>
        <w:jc w:val="center"/>
        <w:rPr>
          <w:sz w:val="32"/>
          <w:szCs w:val="32"/>
          <w:lang w:val="en-US"/>
        </w:rPr>
      </w:pPr>
      <w:r w:rsidRPr="002820F2">
        <w:rPr>
          <w:sz w:val="32"/>
          <w:szCs w:val="32"/>
          <w:lang w:val="en-US"/>
        </w:rPr>
        <w:t>Description of the Subject of Public Procurement</w:t>
      </w:r>
    </w:p>
    <w:p w14:paraId="571127C2" w14:textId="4BB199E7" w:rsidR="00F77C71" w:rsidRPr="00F77C71" w:rsidRDefault="00F77C71" w:rsidP="00F77C71">
      <w:pPr>
        <w:jc w:val="left"/>
        <w:rPr>
          <w:b/>
          <w:bCs/>
          <w:sz w:val="32"/>
          <w:szCs w:val="32"/>
          <w:lang w:val="en-US"/>
        </w:rPr>
      </w:pPr>
      <w:r w:rsidRPr="00F77C71">
        <w:rPr>
          <w:b/>
          <w:bCs/>
          <w:sz w:val="32"/>
          <w:szCs w:val="32"/>
          <w:lang w:val="en-US"/>
        </w:rPr>
        <w:t>Part 1:</w:t>
      </w:r>
    </w:p>
    <w:p w14:paraId="646F69B4" w14:textId="213706EB" w:rsidR="00F77C71" w:rsidRPr="00F77C71" w:rsidRDefault="00F77C71" w:rsidP="00F77C71">
      <w:pPr>
        <w:jc w:val="center"/>
        <w:rPr>
          <w:sz w:val="32"/>
          <w:szCs w:val="32"/>
          <w:lang w:val="en-US"/>
        </w:rPr>
      </w:pPr>
      <w:r w:rsidRPr="00F77C71">
        <w:rPr>
          <w:sz w:val="32"/>
          <w:szCs w:val="32"/>
          <w:lang w:val="en-US"/>
        </w:rPr>
        <w:t>Hybrid Photon Counting detector for macromolecular crystallography for SOLCRYS beamline at SOLARIS NSRC</w:t>
      </w:r>
    </w:p>
    <w:p w14:paraId="4EBA8439" w14:textId="77777777" w:rsidR="00F77C71" w:rsidRPr="002820F2" w:rsidRDefault="00F77C71" w:rsidP="002F7789">
      <w:pPr>
        <w:jc w:val="center"/>
        <w:rPr>
          <w:sz w:val="32"/>
          <w:szCs w:val="32"/>
          <w:lang w:val="en-US"/>
        </w:rPr>
      </w:pPr>
    </w:p>
    <w:p w14:paraId="3D27413D" w14:textId="355ECBB9" w:rsidR="00F77C71" w:rsidRPr="00F77C71" w:rsidRDefault="00F77C71" w:rsidP="00F77C71">
      <w:pPr>
        <w:jc w:val="left"/>
        <w:rPr>
          <w:b/>
          <w:bCs/>
          <w:sz w:val="32"/>
          <w:szCs w:val="32"/>
          <w:lang w:val="en-US"/>
        </w:rPr>
      </w:pPr>
      <w:r w:rsidRPr="00F77C71">
        <w:rPr>
          <w:b/>
          <w:bCs/>
          <w:sz w:val="32"/>
          <w:szCs w:val="32"/>
          <w:lang w:val="en-US"/>
        </w:rPr>
        <w:t xml:space="preserve">Part </w:t>
      </w:r>
      <w:r>
        <w:rPr>
          <w:b/>
          <w:bCs/>
          <w:sz w:val="32"/>
          <w:szCs w:val="32"/>
          <w:lang w:val="en-US"/>
        </w:rPr>
        <w:t>2</w:t>
      </w:r>
      <w:r w:rsidRPr="00F77C71">
        <w:rPr>
          <w:b/>
          <w:bCs/>
          <w:sz w:val="32"/>
          <w:szCs w:val="32"/>
          <w:lang w:val="en-US"/>
        </w:rPr>
        <w:t>:</w:t>
      </w:r>
    </w:p>
    <w:p w14:paraId="0458C505" w14:textId="4E145087" w:rsidR="00F77C71" w:rsidRPr="00F77C71" w:rsidRDefault="00F77C71" w:rsidP="00F77C71">
      <w:pPr>
        <w:jc w:val="center"/>
        <w:rPr>
          <w:sz w:val="32"/>
          <w:szCs w:val="32"/>
          <w:lang w:val="en-US"/>
        </w:rPr>
      </w:pPr>
      <w:r w:rsidRPr="00F77C71">
        <w:rPr>
          <w:sz w:val="32"/>
          <w:szCs w:val="32"/>
          <w:lang w:val="en-US"/>
        </w:rPr>
        <w:t>Synchrotron microdiffractometer</w:t>
      </w:r>
      <w:r w:rsidR="00683A08">
        <w:rPr>
          <w:sz w:val="32"/>
          <w:szCs w:val="32"/>
          <w:lang w:val="en-US"/>
        </w:rPr>
        <w:t xml:space="preserve"> for</w:t>
      </w:r>
      <w:r w:rsidRPr="00F77C71">
        <w:rPr>
          <w:sz w:val="32"/>
          <w:szCs w:val="32"/>
          <w:lang w:val="en-US"/>
        </w:rPr>
        <w:t xml:space="preserve"> protein crystallography </w:t>
      </w:r>
      <w:r w:rsidR="00683A08">
        <w:rPr>
          <w:sz w:val="32"/>
          <w:szCs w:val="32"/>
          <w:lang w:val="en-US"/>
        </w:rPr>
        <w:t xml:space="preserve">for SOLCRYS </w:t>
      </w:r>
      <w:r w:rsidRPr="00F77C71">
        <w:rPr>
          <w:sz w:val="32"/>
          <w:szCs w:val="32"/>
          <w:lang w:val="en-US"/>
        </w:rPr>
        <w:t>beamline</w:t>
      </w:r>
      <w:r>
        <w:rPr>
          <w:sz w:val="32"/>
          <w:szCs w:val="32"/>
          <w:lang w:val="en-US"/>
        </w:rPr>
        <w:t xml:space="preserve"> at SOLARIS NSRC</w:t>
      </w:r>
    </w:p>
    <w:sdt>
      <w:sdtPr>
        <w:rPr>
          <w:rFonts w:ascii="Times New Roman" w:eastAsiaTheme="minorEastAsia" w:hAnsi="Times New Roman" w:cstheme="minorBidi"/>
          <w:color w:val="auto"/>
          <w:kern w:val="2"/>
          <w:sz w:val="24"/>
          <w:szCs w:val="24"/>
          <w:lang w:eastAsia="en-US"/>
          <w14:ligatures w14:val="standardContextual"/>
        </w:rPr>
        <w:id w:val="156736109"/>
        <w:docPartObj>
          <w:docPartGallery w:val="Table of Contents"/>
          <w:docPartUnique/>
        </w:docPartObj>
      </w:sdtPr>
      <w:sdtEndPr>
        <w:rPr>
          <w:b/>
          <w:bCs/>
        </w:rPr>
      </w:sdtEndPr>
      <w:sdtContent>
        <w:p w14:paraId="292A8134" w14:textId="73160686" w:rsidR="00683A08" w:rsidRDefault="00683A08" w:rsidP="00061743">
          <w:pPr>
            <w:pStyle w:val="Nagwekspisutreci"/>
          </w:pPr>
        </w:p>
        <w:p w14:paraId="22E197F2" w14:textId="23097043" w:rsidR="00FE108C" w:rsidRDefault="00683A08">
          <w:pPr>
            <w:pStyle w:val="Spistreci1"/>
            <w:tabs>
              <w:tab w:val="right" w:leader="dot" w:pos="9062"/>
            </w:tabs>
            <w:rPr>
              <w:rFonts w:asciiTheme="minorHAnsi" w:eastAsiaTheme="minorEastAsia" w:hAnsiTheme="minorHAnsi"/>
              <w:noProof/>
              <w:lang w:eastAsia="pl-PL"/>
            </w:rPr>
          </w:pPr>
          <w:r>
            <w:fldChar w:fldCharType="begin"/>
          </w:r>
          <w:r>
            <w:instrText xml:space="preserve"> TOC \o "1-3" \h \z \u </w:instrText>
          </w:r>
          <w:r>
            <w:fldChar w:fldCharType="separate"/>
          </w:r>
          <w:hyperlink w:anchor="_Toc199507581" w:history="1">
            <w:r w:rsidR="00FE108C" w:rsidRPr="006958A6">
              <w:rPr>
                <w:rStyle w:val="Hipercze"/>
                <w:b/>
                <w:bCs/>
                <w:noProof/>
              </w:rPr>
              <w:t>Part 1</w:t>
            </w:r>
            <w:r w:rsidR="00FE108C" w:rsidRPr="006958A6">
              <w:rPr>
                <w:rStyle w:val="Hipercze"/>
                <w:noProof/>
              </w:rPr>
              <w:t>:</w:t>
            </w:r>
            <w:r w:rsidR="00FE108C">
              <w:rPr>
                <w:noProof/>
                <w:webHidden/>
              </w:rPr>
              <w:tab/>
            </w:r>
            <w:r w:rsidR="00FE108C">
              <w:rPr>
                <w:noProof/>
                <w:webHidden/>
              </w:rPr>
              <w:fldChar w:fldCharType="begin"/>
            </w:r>
            <w:r w:rsidR="00FE108C">
              <w:rPr>
                <w:noProof/>
                <w:webHidden/>
              </w:rPr>
              <w:instrText xml:space="preserve"> PAGEREF _Toc199507581 \h </w:instrText>
            </w:r>
            <w:r w:rsidR="00FE108C">
              <w:rPr>
                <w:noProof/>
                <w:webHidden/>
              </w:rPr>
            </w:r>
            <w:r w:rsidR="00FE108C">
              <w:rPr>
                <w:noProof/>
                <w:webHidden/>
              </w:rPr>
              <w:fldChar w:fldCharType="separate"/>
            </w:r>
            <w:r w:rsidR="00FE108C">
              <w:rPr>
                <w:noProof/>
                <w:webHidden/>
              </w:rPr>
              <w:t>3</w:t>
            </w:r>
            <w:r w:rsidR="00FE108C">
              <w:rPr>
                <w:noProof/>
                <w:webHidden/>
              </w:rPr>
              <w:fldChar w:fldCharType="end"/>
            </w:r>
          </w:hyperlink>
        </w:p>
        <w:p w14:paraId="438EDF81" w14:textId="65B77CDC" w:rsidR="00FE108C" w:rsidRDefault="00FE108C">
          <w:pPr>
            <w:pStyle w:val="Spistreci1"/>
            <w:tabs>
              <w:tab w:val="left" w:pos="480"/>
              <w:tab w:val="right" w:leader="dot" w:pos="9062"/>
            </w:tabs>
            <w:rPr>
              <w:rFonts w:asciiTheme="minorHAnsi" w:eastAsiaTheme="minorEastAsia" w:hAnsiTheme="minorHAnsi"/>
              <w:noProof/>
              <w:lang w:eastAsia="pl-PL"/>
            </w:rPr>
          </w:pPr>
          <w:hyperlink w:anchor="_Toc199507582" w:history="1">
            <w:r w:rsidRPr="006958A6">
              <w:rPr>
                <w:rStyle w:val="Hipercze"/>
                <w:noProof/>
              </w:rPr>
              <w:t>1.</w:t>
            </w:r>
            <w:r>
              <w:rPr>
                <w:rFonts w:asciiTheme="minorHAnsi" w:eastAsiaTheme="minorEastAsia" w:hAnsiTheme="minorHAnsi"/>
                <w:noProof/>
                <w:lang w:eastAsia="pl-PL"/>
              </w:rPr>
              <w:tab/>
            </w:r>
            <w:r w:rsidRPr="006958A6">
              <w:rPr>
                <w:rStyle w:val="Hipercze"/>
                <w:noProof/>
              </w:rPr>
              <w:t>General information</w:t>
            </w:r>
            <w:r>
              <w:rPr>
                <w:noProof/>
                <w:webHidden/>
              </w:rPr>
              <w:tab/>
            </w:r>
            <w:r>
              <w:rPr>
                <w:noProof/>
                <w:webHidden/>
              </w:rPr>
              <w:fldChar w:fldCharType="begin"/>
            </w:r>
            <w:r>
              <w:rPr>
                <w:noProof/>
                <w:webHidden/>
              </w:rPr>
              <w:instrText xml:space="preserve"> PAGEREF _Toc199507582 \h </w:instrText>
            </w:r>
            <w:r>
              <w:rPr>
                <w:noProof/>
                <w:webHidden/>
              </w:rPr>
            </w:r>
            <w:r>
              <w:rPr>
                <w:noProof/>
                <w:webHidden/>
              </w:rPr>
              <w:fldChar w:fldCharType="separate"/>
            </w:r>
            <w:r>
              <w:rPr>
                <w:noProof/>
                <w:webHidden/>
              </w:rPr>
              <w:t>3</w:t>
            </w:r>
            <w:r>
              <w:rPr>
                <w:noProof/>
                <w:webHidden/>
              </w:rPr>
              <w:fldChar w:fldCharType="end"/>
            </w:r>
          </w:hyperlink>
        </w:p>
        <w:p w14:paraId="5B21215E" w14:textId="492F5E66" w:rsidR="00FE108C" w:rsidRDefault="00FE108C">
          <w:pPr>
            <w:pStyle w:val="Spistreci1"/>
            <w:tabs>
              <w:tab w:val="left" w:pos="480"/>
              <w:tab w:val="right" w:leader="dot" w:pos="9062"/>
            </w:tabs>
            <w:rPr>
              <w:rFonts w:asciiTheme="minorHAnsi" w:eastAsiaTheme="minorEastAsia" w:hAnsiTheme="minorHAnsi"/>
              <w:noProof/>
              <w:lang w:eastAsia="pl-PL"/>
            </w:rPr>
          </w:pPr>
          <w:hyperlink w:anchor="_Toc199507583" w:history="1">
            <w:r w:rsidRPr="006958A6">
              <w:rPr>
                <w:rStyle w:val="Hipercze"/>
                <w:noProof/>
              </w:rPr>
              <w:t>2.</w:t>
            </w:r>
            <w:r>
              <w:rPr>
                <w:rFonts w:asciiTheme="minorHAnsi" w:eastAsiaTheme="minorEastAsia" w:hAnsiTheme="minorHAnsi"/>
                <w:noProof/>
                <w:lang w:eastAsia="pl-PL"/>
              </w:rPr>
              <w:tab/>
            </w:r>
            <w:r w:rsidRPr="006958A6">
              <w:rPr>
                <w:rStyle w:val="Hipercze"/>
                <w:noProof/>
              </w:rPr>
              <w:t>General specification of the scope of delivery</w:t>
            </w:r>
            <w:r>
              <w:rPr>
                <w:noProof/>
                <w:webHidden/>
              </w:rPr>
              <w:tab/>
            </w:r>
            <w:r>
              <w:rPr>
                <w:noProof/>
                <w:webHidden/>
              </w:rPr>
              <w:fldChar w:fldCharType="begin"/>
            </w:r>
            <w:r>
              <w:rPr>
                <w:noProof/>
                <w:webHidden/>
              </w:rPr>
              <w:instrText xml:space="preserve"> PAGEREF _Toc199507583 \h </w:instrText>
            </w:r>
            <w:r>
              <w:rPr>
                <w:noProof/>
                <w:webHidden/>
              </w:rPr>
            </w:r>
            <w:r>
              <w:rPr>
                <w:noProof/>
                <w:webHidden/>
              </w:rPr>
              <w:fldChar w:fldCharType="separate"/>
            </w:r>
            <w:r>
              <w:rPr>
                <w:noProof/>
                <w:webHidden/>
              </w:rPr>
              <w:t>3</w:t>
            </w:r>
            <w:r>
              <w:rPr>
                <w:noProof/>
                <w:webHidden/>
              </w:rPr>
              <w:fldChar w:fldCharType="end"/>
            </w:r>
          </w:hyperlink>
        </w:p>
        <w:p w14:paraId="2109F442" w14:textId="12A212AB"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84" w:history="1">
            <w:r w:rsidRPr="006958A6">
              <w:rPr>
                <w:rStyle w:val="Hipercze"/>
                <w:noProof/>
                <w:lang w:val="en-US"/>
              </w:rPr>
              <w:t>2.1.</w:t>
            </w:r>
            <w:r>
              <w:rPr>
                <w:rFonts w:asciiTheme="minorHAnsi" w:eastAsiaTheme="minorEastAsia" w:hAnsiTheme="minorHAnsi"/>
                <w:noProof/>
                <w:lang w:eastAsia="pl-PL"/>
              </w:rPr>
              <w:tab/>
            </w:r>
            <w:r w:rsidRPr="006958A6">
              <w:rPr>
                <w:rStyle w:val="Hipercze"/>
                <w:noProof/>
                <w:lang w:val="en-US"/>
              </w:rPr>
              <w:t>Detector technical specification</w:t>
            </w:r>
            <w:r>
              <w:rPr>
                <w:noProof/>
                <w:webHidden/>
              </w:rPr>
              <w:tab/>
            </w:r>
            <w:r>
              <w:rPr>
                <w:noProof/>
                <w:webHidden/>
              </w:rPr>
              <w:fldChar w:fldCharType="begin"/>
            </w:r>
            <w:r>
              <w:rPr>
                <w:noProof/>
                <w:webHidden/>
              </w:rPr>
              <w:instrText xml:space="preserve"> PAGEREF _Toc199507584 \h </w:instrText>
            </w:r>
            <w:r>
              <w:rPr>
                <w:noProof/>
                <w:webHidden/>
              </w:rPr>
            </w:r>
            <w:r>
              <w:rPr>
                <w:noProof/>
                <w:webHidden/>
              </w:rPr>
              <w:fldChar w:fldCharType="separate"/>
            </w:r>
            <w:r>
              <w:rPr>
                <w:noProof/>
                <w:webHidden/>
              </w:rPr>
              <w:t>4</w:t>
            </w:r>
            <w:r>
              <w:rPr>
                <w:noProof/>
                <w:webHidden/>
              </w:rPr>
              <w:fldChar w:fldCharType="end"/>
            </w:r>
          </w:hyperlink>
        </w:p>
        <w:p w14:paraId="15EC4B0A" w14:textId="1C37B707"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85" w:history="1">
            <w:r w:rsidRPr="006958A6">
              <w:rPr>
                <w:rStyle w:val="Hipercze"/>
                <w:noProof/>
                <w:lang w:val="en-GB"/>
              </w:rPr>
              <w:t>2.2.</w:t>
            </w:r>
            <w:r>
              <w:rPr>
                <w:rFonts w:asciiTheme="minorHAnsi" w:eastAsiaTheme="minorEastAsia" w:hAnsiTheme="minorHAnsi"/>
                <w:noProof/>
                <w:lang w:eastAsia="pl-PL"/>
              </w:rPr>
              <w:tab/>
            </w:r>
            <w:r w:rsidRPr="006958A6">
              <w:rPr>
                <w:rStyle w:val="Hipercze"/>
                <w:noProof/>
                <w:lang w:val="en-GB"/>
              </w:rPr>
              <w:t>Control unit</w:t>
            </w:r>
            <w:r>
              <w:rPr>
                <w:noProof/>
                <w:webHidden/>
              </w:rPr>
              <w:tab/>
            </w:r>
            <w:r>
              <w:rPr>
                <w:noProof/>
                <w:webHidden/>
              </w:rPr>
              <w:fldChar w:fldCharType="begin"/>
            </w:r>
            <w:r>
              <w:rPr>
                <w:noProof/>
                <w:webHidden/>
              </w:rPr>
              <w:instrText xml:space="preserve"> PAGEREF _Toc199507585 \h </w:instrText>
            </w:r>
            <w:r>
              <w:rPr>
                <w:noProof/>
                <w:webHidden/>
              </w:rPr>
            </w:r>
            <w:r>
              <w:rPr>
                <w:noProof/>
                <w:webHidden/>
              </w:rPr>
              <w:fldChar w:fldCharType="separate"/>
            </w:r>
            <w:r>
              <w:rPr>
                <w:noProof/>
                <w:webHidden/>
              </w:rPr>
              <w:t>5</w:t>
            </w:r>
            <w:r>
              <w:rPr>
                <w:noProof/>
                <w:webHidden/>
              </w:rPr>
              <w:fldChar w:fldCharType="end"/>
            </w:r>
          </w:hyperlink>
        </w:p>
        <w:p w14:paraId="250787EA" w14:textId="548346CA"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86" w:history="1">
            <w:r w:rsidRPr="006958A6">
              <w:rPr>
                <w:rStyle w:val="Hipercze"/>
                <w:noProof/>
                <w:lang w:val="en-GB"/>
              </w:rPr>
              <w:t>2.3.</w:t>
            </w:r>
            <w:r>
              <w:rPr>
                <w:rFonts w:asciiTheme="minorHAnsi" w:eastAsiaTheme="minorEastAsia" w:hAnsiTheme="minorHAnsi"/>
                <w:noProof/>
                <w:lang w:eastAsia="pl-PL"/>
              </w:rPr>
              <w:tab/>
            </w:r>
            <w:r w:rsidRPr="006958A6">
              <w:rPr>
                <w:rStyle w:val="Hipercze"/>
                <w:noProof/>
                <w:lang w:val="en-GB"/>
              </w:rPr>
              <w:t>Thermal stabilization unit</w:t>
            </w:r>
            <w:r>
              <w:rPr>
                <w:noProof/>
                <w:webHidden/>
              </w:rPr>
              <w:tab/>
            </w:r>
            <w:r>
              <w:rPr>
                <w:noProof/>
                <w:webHidden/>
              </w:rPr>
              <w:fldChar w:fldCharType="begin"/>
            </w:r>
            <w:r>
              <w:rPr>
                <w:noProof/>
                <w:webHidden/>
              </w:rPr>
              <w:instrText xml:space="preserve"> PAGEREF _Toc199507586 \h </w:instrText>
            </w:r>
            <w:r>
              <w:rPr>
                <w:noProof/>
                <w:webHidden/>
              </w:rPr>
            </w:r>
            <w:r>
              <w:rPr>
                <w:noProof/>
                <w:webHidden/>
              </w:rPr>
              <w:fldChar w:fldCharType="separate"/>
            </w:r>
            <w:r>
              <w:rPr>
                <w:noProof/>
                <w:webHidden/>
              </w:rPr>
              <w:t>5</w:t>
            </w:r>
            <w:r>
              <w:rPr>
                <w:noProof/>
                <w:webHidden/>
              </w:rPr>
              <w:fldChar w:fldCharType="end"/>
            </w:r>
          </w:hyperlink>
        </w:p>
        <w:p w14:paraId="2CF5E836" w14:textId="24BB1884" w:rsidR="00FE108C" w:rsidRDefault="00FE108C">
          <w:pPr>
            <w:pStyle w:val="Spistreci1"/>
            <w:tabs>
              <w:tab w:val="left" w:pos="480"/>
              <w:tab w:val="right" w:leader="dot" w:pos="9062"/>
            </w:tabs>
            <w:rPr>
              <w:rFonts w:asciiTheme="minorHAnsi" w:eastAsiaTheme="minorEastAsia" w:hAnsiTheme="minorHAnsi"/>
              <w:noProof/>
              <w:lang w:eastAsia="pl-PL"/>
            </w:rPr>
          </w:pPr>
          <w:hyperlink w:anchor="_Toc199507587" w:history="1">
            <w:r w:rsidRPr="006958A6">
              <w:rPr>
                <w:rStyle w:val="Hipercze"/>
                <w:noProof/>
              </w:rPr>
              <w:t>3.</w:t>
            </w:r>
            <w:r>
              <w:rPr>
                <w:rFonts w:asciiTheme="minorHAnsi" w:eastAsiaTheme="minorEastAsia" w:hAnsiTheme="minorHAnsi"/>
                <w:noProof/>
                <w:lang w:eastAsia="pl-PL"/>
              </w:rPr>
              <w:tab/>
            </w:r>
            <w:r w:rsidRPr="006958A6">
              <w:rPr>
                <w:rStyle w:val="Hipercze"/>
                <w:noProof/>
              </w:rPr>
              <w:t>Additional information</w:t>
            </w:r>
            <w:r>
              <w:rPr>
                <w:noProof/>
                <w:webHidden/>
              </w:rPr>
              <w:tab/>
            </w:r>
            <w:r>
              <w:rPr>
                <w:noProof/>
                <w:webHidden/>
              </w:rPr>
              <w:fldChar w:fldCharType="begin"/>
            </w:r>
            <w:r>
              <w:rPr>
                <w:noProof/>
                <w:webHidden/>
              </w:rPr>
              <w:instrText xml:space="preserve"> PAGEREF _Toc199507587 \h </w:instrText>
            </w:r>
            <w:r>
              <w:rPr>
                <w:noProof/>
                <w:webHidden/>
              </w:rPr>
            </w:r>
            <w:r>
              <w:rPr>
                <w:noProof/>
                <w:webHidden/>
              </w:rPr>
              <w:fldChar w:fldCharType="separate"/>
            </w:r>
            <w:r>
              <w:rPr>
                <w:noProof/>
                <w:webHidden/>
              </w:rPr>
              <w:t>5</w:t>
            </w:r>
            <w:r>
              <w:rPr>
                <w:noProof/>
                <w:webHidden/>
              </w:rPr>
              <w:fldChar w:fldCharType="end"/>
            </w:r>
          </w:hyperlink>
        </w:p>
        <w:p w14:paraId="70DA2F0A" w14:textId="4BB65F92" w:rsidR="00FE108C" w:rsidRDefault="00FE108C">
          <w:pPr>
            <w:pStyle w:val="Spistreci1"/>
            <w:tabs>
              <w:tab w:val="right" w:leader="dot" w:pos="9062"/>
            </w:tabs>
            <w:rPr>
              <w:rFonts w:asciiTheme="minorHAnsi" w:eastAsiaTheme="minorEastAsia" w:hAnsiTheme="minorHAnsi"/>
              <w:noProof/>
              <w:lang w:eastAsia="pl-PL"/>
            </w:rPr>
          </w:pPr>
          <w:hyperlink w:anchor="_Toc199507588" w:history="1">
            <w:r w:rsidRPr="006958A6">
              <w:rPr>
                <w:rStyle w:val="Hipercze"/>
                <w:b/>
                <w:bCs/>
                <w:noProof/>
              </w:rPr>
              <w:t>Part 2</w:t>
            </w:r>
            <w:r w:rsidRPr="006958A6">
              <w:rPr>
                <w:rStyle w:val="Hipercze"/>
                <w:noProof/>
              </w:rPr>
              <w:t>:</w:t>
            </w:r>
            <w:r>
              <w:rPr>
                <w:noProof/>
                <w:webHidden/>
              </w:rPr>
              <w:tab/>
            </w:r>
            <w:r>
              <w:rPr>
                <w:noProof/>
                <w:webHidden/>
              </w:rPr>
              <w:fldChar w:fldCharType="begin"/>
            </w:r>
            <w:r>
              <w:rPr>
                <w:noProof/>
                <w:webHidden/>
              </w:rPr>
              <w:instrText xml:space="preserve"> PAGEREF _Toc199507588 \h </w:instrText>
            </w:r>
            <w:r>
              <w:rPr>
                <w:noProof/>
                <w:webHidden/>
              </w:rPr>
            </w:r>
            <w:r>
              <w:rPr>
                <w:noProof/>
                <w:webHidden/>
              </w:rPr>
              <w:fldChar w:fldCharType="separate"/>
            </w:r>
            <w:r>
              <w:rPr>
                <w:noProof/>
                <w:webHidden/>
              </w:rPr>
              <w:t>6</w:t>
            </w:r>
            <w:r>
              <w:rPr>
                <w:noProof/>
                <w:webHidden/>
              </w:rPr>
              <w:fldChar w:fldCharType="end"/>
            </w:r>
          </w:hyperlink>
        </w:p>
        <w:p w14:paraId="7D4B8126" w14:textId="79FA4B21" w:rsidR="00FE108C" w:rsidRDefault="00FE108C">
          <w:pPr>
            <w:pStyle w:val="Spistreci1"/>
            <w:tabs>
              <w:tab w:val="left" w:pos="480"/>
              <w:tab w:val="right" w:leader="dot" w:pos="9062"/>
            </w:tabs>
            <w:rPr>
              <w:rFonts w:asciiTheme="minorHAnsi" w:eastAsiaTheme="minorEastAsia" w:hAnsiTheme="minorHAnsi"/>
              <w:noProof/>
              <w:lang w:eastAsia="pl-PL"/>
            </w:rPr>
          </w:pPr>
          <w:hyperlink w:anchor="_Toc199507589" w:history="1">
            <w:r w:rsidRPr="006958A6">
              <w:rPr>
                <w:rStyle w:val="Hipercze"/>
                <w:noProof/>
              </w:rPr>
              <w:t>1.</w:t>
            </w:r>
            <w:r>
              <w:rPr>
                <w:rFonts w:asciiTheme="minorHAnsi" w:eastAsiaTheme="minorEastAsia" w:hAnsiTheme="minorHAnsi"/>
                <w:noProof/>
                <w:lang w:eastAsia="pl-PL"/>
              </w:rPr>
              <w:tab/>
            </w:r>
            <w:r w:rsidRPr="006958A6">
              <w:rPr>
                <w:rStyle w:val="Hipercze"/>
                <w:noProof/>
              </w:rPr>
              <w:t>General information</w:t>
            </w:r>
            <w:r>
              <w:rPr>
                <w:noProof/>
                <w:webHidden/>
              </w:rPr>
              <w:tab/>
            </w:r>
            <w:r>
              <w:rPr>
                <w:noProof/>
                <w:webHidden/>
              </w:rPr>
              <w:fldChar w:fldCharType="begin"/>
            </w:r>
            <w:r>
              <w:rPr>
                <w:noProof/>
                <w:webHidden/>
              </w:rPr>
              <w:instrText xml:space="preserve"> PAGEREF _Toc199507589 \h </w:instrText>
            </w:r>
            <w:r>
              <w:rPr>
                <w:noProof/>
                <w:webHidden/>
              </w:rPr>
            </w:r>
            <w:r>
              <w:rPr>
                <w:noProof/>
                <w:webHidden/>
              </w:rPr>
              <w:fldChar w:fldCharType="separate"/>
            </w:r>
            <w:r>
              <w:rPr>
                <w:noProof/>
                <w:webHidden/>
              </w:rPr>
              <w:t>6</w:t>
            </w:r>
            <w:r>
              <w:rPr>
                <w:noProof/>
                <w:webHidden/>
              </w:rPr>
              <w:fldChar w:fldCharType="end"/>
            </w:r>
          </w:hyperlink>
        </w:p>
        <w:p w14:paraId="54A68C02" w14:textId="7C9E6E02" w:rsidR="00FE108C" w:rsidRDefault="00FE108C">
          <w:pPr>
            <w:pStyle w:val="Spistreci1"/>
            <w:tabs>
              <w:tab w:val="left" w:pos="480"/>
              <w:tab w:val="right" w:leader="dot" w:pos="9062"/>
            </w:tabs>
            <w:rPr>
              <w:rFonts w:asciiTheme="minorHAnsi" w:eastAsiaTheme="minorEastAsia" w:hAnsiTheme="minorHAnsi"/>
              <w:noProof/>
              <w:lang w:eastAsia="pl-PL"/>
            </w:rPr>
          </w:pPr>
          <w:hyperlink w:anchor="_Toc199507590" w:history="1">
            <w:r w:rsidRPr="006958A6">
              <w:rPr>
                <w:rStyle w:val="Hipercze"/>
                <w:noProof/>
              </w:rPr>
              <w:t>2.</w:t>
            </w:r>
            <w:r>
              <w:rPr>
                <w:rFonts w:asciiTheme="minorHAnsi" w:eastAsiaTheme="minorEastAsia" w:hAnsiTheme="minorHAnsi"/>
                <w:noProof/>
                <w:lang w:eastAsia="pl-PL"/>
              </w:rPr>
              <w:tab/>
            </w:r>
            <w:r w:rsidRPr="006958A6">
              <w:rPr>
                <w:rStyle w:val="Hipercze"/>
                <w:noProof/>
              </w:rPr>
              <w:t>General specification of the scope of delivery</w:t>
            </w:r>
            <w:r>
              <w:rPr>
                <w:noProof/>
                <w:webHidden/>
              </w:rPr>
              <w:tab/>
            </w:r>
            <w:r>
              <w:rPr>
                <w:noProof/>
                <w:webHidden/>
              </w:rPr>
              <w:fldChar w:fldCharType="begin"/>
            </w:r>
            <w:r>
              <w:rPr>
                <w:noProof/>
                <w:webHidden/>
              </w:rPr>
              <w:instrText xml:space="preserve"> PAGEREF _Toc199507590 \h </w:instrText>
            </w:r>
            <w:r>
              <w:rPr>
                <w:noProof/>
                <w:webHidden/>
              </w:rPr>
            </w:r>
            <w:r>
              <w:rPr>
                <w:noProof/>
                <w:webHidden/>
              </w:rPr>
              <w:fldChar w:fldCharType="separate"/>
            </w:r>
            <w:r>
              <w:rPr>
                <w:noProof/>
                <w:webHidden/>
              </w:rPr>
              <w:t>6</w:t>
            </w:r>
            <w:r>
              <w:rPr>
                <w:noProof/>
                <w:webHidden/>
              </w:rPr>
              <w:fldChar w:fldCharType="end"/>
            </w:r>
          </w:hyperlink>
        </w:p>
        <w:p w14:paraId="145616A6" w14:textId="6CF0BB35"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91" w:history="1">
            <w:r w:rsidRPr="006958A6">
              <w:rPr>
                <w:rStyle w:val="Hipercze"/>
                <w:noProof/>
              </w:rPr>
              <w:t>2.1.</w:t>
            </w:r>
            <w:r>
              <w:rPr>
                <w:rFonts w:asciiTheme="minorHAnsi" w:eastAsiaTheme="minorEastAsia" w:hAnsiTheme="minorHAnsi"/>
                <w:noProof/>
                <w:lang w:eastAsia="pl-PL"/>
              </w:rPr>
              <w:tab/>
            </w:r>
            <w:r w:rsidRPr="006958A6">
              <w:rPr>
                <w:rStyle w:val="Hipercze"/>
                <w:noProof/>
              </w:rPr>
              <w:t>Sample positioning axes</w:t>
            </w:r>
            <w:r>
              <w:rPr>
                <w:noProof/>
                <w:webHidden/>
              </w:rPr>
              <w:tab/>
            </w:r>
            <w:r>
              <w:rPr>
                <w:noProof/>
                <w:webHidden/>
              </w:rPr>
              <w:fldChar w:fldCharType="begin"/>
            </w:r>
            <w:r>
              <w:rPr>
                <w:noProof/>
                <w:webHidden/>
              </w:rPr>
              <w:instrText xml:space="preserve"> PAGEREF _Toc199507591 \h </w:instrText>
            </w:r>
            <w:r>
              <w:rPr>
                <w:noProof/>
                <w:webHidden/>
              </w:rPr>
            </w:r>
            <w:r>
              <w:rPr>
                <w:noProof/>
                <w:webHidden/>
              </w:rPr>
              <w:fldChar w:fldCharType="separate"/>
            </w:r>
            <w:r>
              <w:rPr>
                <w:noProof/>
                <w:webHidden/>
              </w:rPr>
              <w:t>7</w:t>
            </w:r>
            <w:r>
              <w:rPr>
                <w:noProof/>
                <w:webHidden/>
              </w:rPr>
              <w:fldChar w:fldCharType="end"/>
            </w:r>
          </w:hyperlink>
        </w:p>
        <w:p w14:paraId="45AFA3B0" w14:textId="62569E8B"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92" w:history="1">
            <w:r w:rsidRPr="006958A6">
              <w:rPr>
                <w:rStyle w:val="Hipercze"/>
                <w:noProof/>
                <w:lang w:eastAsia="pl-PL"/>
              </w:rPr>
              <w:t>2.2.</w:t>
            </w:r>
            <w:r>
              <w:rPr>
                <w:rFonts w:asciiTheme="minorHAnsi" w:eastAsiaTheme="minorEastAsia" w:hAnsiTheme="minorHAnsi"/>
                <w:noProof/>
                <w:lang w:eastAsia="pl-PL"/>
              </w:rPr>
              <w:tab/>
            </w:r>
            <w:r w:rsidRPr="006958A6">
              <w:rPr>
                <w:rStyle w:val="Hipercze"/>
                <w:noProof/>
                <w:lang w:eastAsia="pl-PL"/>
              </w:rPr>
              <w:t>X-ray beam conditioning</w:t>
            </w:r>
            <w:r>
              <w:rPr>
                <w:noProof/>
                <w:webHidden/>
              </w:rPr>
              <w:tab/>
            </w:r>
            <w:r>
              <w:rPr>
                <w:noProof/>
                <w:webHidden/>
              </w:rPr>
              <w:fldChar w:fldCharType="begin"/>
            </w:r>
            <w:r>
              <w:rPr>
                <w:noProof/>
                <w:webHidden/>
              </w:rPr>
              <w:instrText xml:space="preserve"> PAGEREF _Toc199507592 \h </w:instrText>
            </w:r>
            <w:r>
              <w:rPr>
                <w:noProof/>
                <w:webHidden/>
              </w:rPr>
            </w:r>
            <w:r>
              <w:rPr>
                <w:noProof/>
                <w:webHidden/>
              </w:rPr>
              <w:fldChar w:fldCharType="separate"/>
            </w:r>
            <w:r>
              <w:rPr>
                <w:noProof/>
                <w:webHidden/>
              </w:rPr>
              <w:t>8</w:t>
            </w:r>
            <w:r>
              <w:rPr>
                <w:noProof/>
                <w:webHidden/>
              </w:rPr>
              <w:fldChar w:fldCharType="end"/>
            </w:r>
          </w:hyperlink>
        </w:p>
        <w:p w14:paraId="7E27786A" w14:textId="77D9D611"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93" w:history="1">
            <w:r w:rsidRPr="006958A6">
              <w:rPr>
                <w:rStyle w:val="Hipercze"/>
                <w:noProof/>
                <w:lang w:eastAsia="pl-PL"/>
              </w:rPr>
              <w:t>2.3.</w:t>
            </w:r>
            <w:r>
              <w:rPr>
                <w:rFonts w:asciiTheme="minorHAnsi" w:eastAsiaTheme="minorEastAsia" w:hAnsiTheme="minorHAnsi"/>
                <w:noProof/>
                <w:lang w:eastAsia="pl-PL"/>
              </w:rPr>
              <w:tab/>
            </w:r>
            <w:r w:rsidRPr="006958A6">
              <w:rPr>
                <w:rStyle w:val="Hipercze"/>
                <w:noProof/>
                <w:lang w:eastAsia="pl-PL"/>
              </w:rPr>
              <w:t>Sample visualization</w:t>
            </w:r>
            <w:r>
              <w:rPr>
                <w:noProof/>
                <w:webHidden/>
              </w:rPr>
              <w:tab/>
            </w:r>
            <w:r>
              <w:rPr>
                <w:noProof/>
                <w:webHidden/>
              </w:rPr>
              <w:fldChar w:fldCharType="begin"/>
            </w:r>
            <w:r>
              <w:rPr>
                <w:noProof/>
                <w:webHidden/>
              </w:rPr>
              <w:instrText xml:space="preserve"> PAGEREF _Toc199507593 \h </w:instrText>
            </w:r>
            <w:r>
              <w:rPr>
                <w:noProof/>
                <w:webHidden/>
              </w:rPr>
            </w:r>
            <w:r>
              <w:rPr>
                <w:noProof/>
                <w:webHidden/>
              </w:rPr>
              <w:fldChar w:fldCharType="separate"/>
            </w:r>
            <w:r>
              <w:rPr>
                <w:noProof/>
                <w:webHidden/>
              </w:rPr>
              <w:t>10</w:t>
            </w:r>
            <w:r>
              <w:rPr>
                <w:noProof/>
                <w:webHidden/>
              </w:rPr>
              <w:fldChar w:fldCharType="end"/>
            </w:r>
          </w:hyperlink>
        </w:p>
        <w:p w14:paraId="4B4386C6" w14:textId="1D703516" w:rsidR="00FE108C" w:rsidRDefault="00FE108C">
          <w:pPr>
            <w:pStyle w:val="Spistreci2"/>
            <w:tabs>
              <w:tab w:val="right" w:leader="dot" w:pos="9062"/>
            </w:tabs>
            <w:rPr>
              <w:rFonts w:asciiTheme="minorHAnsi" w:eastAsiaTheme="minorEastAsia" w:hAnsiTheme="minorHAnsi"/>
              <w:noProof/>
              <w:lang w:eastAsia="pl-PL"/>
            </w:rPr>
          </w:pPr>
          <w:hyperlink w:anchor="_Toc199507594" w:history="1">
            <w:r w:rsidRPr="006958A6">
              <w:rPr>
                <w:rStyle w:val="Hipercze"/>
                <w:noProof/>
                <w:lang w:val="en-US" w:eastAsia="pl-PL"/>
              </w:rPr>
              <w:t>2.3.1. On-axis video microscope</w:t>
            </w:r>
            <w:r>
              <w:rPr>
                <w:noProof/>
                <w:webHidden/>
              </w:rPr>
              <w:tab/>
            </w:r>
            <w:r>
              <w:rPr>
                <w:noProof/>
                <w:webHidden/>
              </w:rPr>
              <w:fldChar w:fldCharType="begin"/>
            </w:r>
            <w:r>
              <w:rPr>
                <w:noProof/>
                <w:webHidden/>
              </w:rPr>
              <w:instrText xml:space="preserve"> PAGEREF _Toc199507594 \h </w:instrText>
            </w:r>
            <w:r>
              <w:rPr>
                <w:noProof/>
                <w:webHidden/>
              </w:rPr>
            </w:r>
            <w:r>
              <w:rPr>
                <w:noProof/>
                <w:webHidden/>
              </w:rPr>
              <w:fldChar w:fldCharType="separate"/>
            </w:r>
            <w:r>
              <w:rPr>
                <w:noProof/>
                <w:webHidden/>
              </w:rPr>
              <w:t>10</w:t>
            </w:r>
            <w:r>
              <w:rPr>
                <w:noProof/>
                <w:webHidden/>
              </w:rPr>
              <w:fldChar w:fldCharType="end"/>
            </w:r>
          </w:hyperlink>
        </w:p>
        <w:p w14:paraId="789634F7" w14:textId="4C45E02A" w:rsidR="00FE108C" w:rsidRDefault="00FE108C">
          <w:pPr>
            <w:pStyle w:val="Spistreci2"/>
            <w:tabs>
              <w:tab w:val="right" w:leader="dot" w:pos="9062"/>
            </w:tabs>
            <w:rPr>
              <w:rFonts w:asciiTheme="minorHAnsi" w:eastAsiaTheme="minorEastAsia" w:hAnsiTheme="minorHAnsi"/>
              <w:noProof/>
              <w:lang w:eastAsia="pl-PL"/>
            </w:rPr>
          </w:pPr>
          <w:hyperlink w:anchor="_Toc199507595" w:history="1">
            <w:r w:rsidRPr="006958A6">
              <w:rPr>
                <w:rStyle w:val="Hipercze"/>
                <w:noProof/>
                <w:lang w:val="en-US" w:eastAsia="pl-PL"/>
              </w:rPr>
              <w:t>2.3.2. Backlight system</w:t>
            </w:r>
            <w:r>
              <w:rPr>
                <w:noProof/>
                <w:webHidden/>
              </w:rPr>
              <w:tab/>
            </w:r>
            <w:r>
              <w:rPr>
                <w:noProof/>
                <w:webHidden/>
              </w:rPr>
              <w:fldChar w:fldCharType="begin"/>
            </w:r>
            <w:r>
              <w:rPr>
                <w:noProof/>
                <w:webHidden/>
              </w:rPr>
              <w:instrText xml:space="preserve"> PAGEREF _Toc199507595 \h </w:instrText>
            </w:r>
            <w:r>
              <w:rPr>
                <w:noProof/>
                <w:webHidden/>
              </w:rPr>
            </w:r>
            <w:r>
              <w:rPr>
                <w:noProof/>
                <w:webHidden/>
              </w:rPr>
              <w:fldChar w:fldCharType="separate"/>
            </w:r>
            <w:r>
              <w:rPr>
                <w:noProof/>
                <w:webHidden/>
              </w:rPr>
              <w:t>10</w:t>
            </w:r>
            <w:r>
              <w:rPr>
                <w:noProof/>
                <w:webHidden/>
              </w:rPr>
              <w:fldChar w:fldCharType="end"/>
            </w:r>
          </w:hyperlink>
        </w:p>
        <w:p w14:paraId="357ADC2C" w14:textId="6B751637" w:rsidR="00FE108C" w:rsidRDefault="00FE108C">
          <w:pPr>
            <w:pStyle w:val="Spistreci2"/>
            <w:tabs>
              <w:tab w:val="right" w:leader="dot" w:pos="9062"/>
            </w:tabs>
            <w:rPr>
              <w:rFonts w:asciiTheme="minorHAnsi" w:eastAsiaTheme="minorEastAsia" w:hAnsiTheme="minorHAnsi"/>
              <w:noProof/>
              <w:lang w:eastAsia="pl-PL"/>
            </w:rPr>
          </w:pPr>
          <w:hyperlink w:anchor="_Toc199507596" w:history="1">
            <w:r w:rsidRPr="006958A6">
              <w:rPr>
                <w:rStyle w:val="Hipercze"/>
                <w:noProof/>
                <w:lang w:val="en-US" w:eastAsia="pl-PL"/>
              </w:rPr>
              <w:t>2.3.3. Frontlight system</w:t>
            </w:r>
            <w:r>
              <w:rPr>
                <w:noProof/>
                <w:webHidden/>
              </w:rPr>
              <w:tab/>
            </w:r>
            <w:r>
              <w:rPr>
                <w:noProof/>
                <w:webHidden/>
              </w:rPr>
              <w:fldChar w:fldCharType="begin"/>
            </w:r>
            <w:r>
              <w:rPr>
                <w:noProof/>
                <w:webHidden/>
              </w:rPr>
              <w:instrText xml:space="preserve"> PAGEREF _Toc199507596 \h </w:instrText>
            </w:r>
            <w:r>
              <w:rPr>
                <w:noProof/>
                <w:webHidden/>
              </w:rPr>
            </w:r>
            <w:r>
              <w:rPr>
                <w:noProof/>
                <w:webHidden/>
              </w:rPr>
              <w:fldChar w:fldCharType="separate"/>
            </w:r>
            <w:r>
              <w:rPr>
                <w:noProof/>
                <w:webHidden/>
              </w:rPr>
              <w:t>10</w:t>
            </w:r>
            <w:r>
              <w:rPr>
                <w:noProof/>
                <w:webHidden/>
              </w:rPr>
              <w:fldChar w:fldCharType="end"/>
            </w:r>
          </w:hyperlink>
        </w:p>
        <w:p w14:paraId="455D41F3" w14:textId="7CCDCE1A"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97" w:history="1">
            <w:r w:rsidRPr="006958A6">
              <w:rPr>
                <w:rStyle w:val="Hipercze"/>
                <w:noProof/>
                <w:lang w:eastAsia="pl-PL"/>
              </w:rPr>
              <w:t>2.4.</w:t>
            </w:r>
            <w:r>
              <w:rPr>
                <w:rFonts w:asciiTheme="minorHAnsi" w:eastAsiaTheme="minorEastAsia" w:hAnsiTheme="minorHAnsi"/>
                <w:noProof/>
                <w:lang w:eastAsia="pl-PL"/>
              </w:rPr>
              <w:tab/>
            </w:r>
            <w:r w:rsidRPr="006958A6">
              <w:rPr>
                <w:rStyle w:val="Hipercze"/>
                <w:noProof/>
                <w:lang w:eastAsia="pl-PL"/>
              </w:rPr>
              <w:t>Kappa goniometer head</w:t>
            </w:r>
            <w:r>
              <w:rPr>
                <w:noProof/>
                <w:webHidden/>
              </w:rPr>
              <w:tab/>
            </w:r>
            <w:r>
              <w:rPr>
                <w:noProof/>
                <w:webHidden/>
              </w:rPr>
              <w:fldChar w:fldCharType="begin"/>
            </w:r>
            <w:r>
              <w:rPr>
                <w:noProof/>
                <w:webHidden/>
              </w:rPr>
              <w:instrText xml:space="preserve"> PAGEREF _Toc199507597 \h </w:instrText>
            </w:r>
            <w:r>
              <w:rPr>
                <w:noProof/>
                <w:webHidden/>
              </w:rPr>
            </w:r>
            <w:r>
              <w:rPr>
                <w:noProof/>
                <w:webHidden/>
              </w:rPr>
              <w:fldChar w:fldCharType="separate"/>
            </w:r>
            <w:r>
              <w:rPr>
                <w:noProof/>
                <w:webHidden/>
              </w:rPr>
              <w:t>10</w:t>
            </w:r>
            <w:r>
              <w:rPr>
                <w:noProof/>
                <w:webHidden/>
              </w:rPr>
              <w:fldChar w:fldCharType="end"/>
            </w:r>
          </w:hyperlink>
        </w:p>
        <w:p w14:paraId="25B7E96F" w14:textId="4759EE76"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98" w:history="1">
            <w:r w:rsidRPr="006958A6">
              <w:rPr>
                <w:rStyle w:val="Hipercze"/>
                <w:noProof/>
                <w:lang w:val="en-GB" w:eastAsia="pl-PL"/>
              </w:rPr>
              <w:t>2.5.</w:t>
            </w:r>
            <w:r>
              <w:rPr>
                <w:rFonts w:asciiTheme="minorHAnsi" w:eastAsiaTheme="minorEastAsia" w:hAnsiTheme="minorHAnsi"/>
                <w:noProof/>
                <w:lang w:eastAsia="pl-PL"/>
              </w:rPr>
              <w:tab/>
            </w:r>
            <w:r w:rsidRPr="006958A6">
              <w:rPr>
                <w:rStyle w:val="Hipercze"/>
                <w:noProof/>
                <w:lang w:val="en-GB" w:eastAsia="pl-PL"/>
              </w:rPr>
              <w:t>Support mechanism for diamond anvil cell</w:t>
            </w:r>
            <w:r>
              <w:rPr>
                <w:noProof/>
                <w:webHidden/>
              </w:rPr>
              <w:tab/>
            </w:r>
            <w:r>
              <w:rPr>
                <w:noProof/>
                <w:webHidden/>
              </w:rPr>
              <w:fldChar w:fldCharType="begin"/>
            </w:r>
            <w:r>
              <w:rPr>
                <w:noProof/>
                <w:webHidden/>
              </w:rPr>
              <w:instrText xml:space="preserve"> PAGEREF _Toc199507598 \h </w:instrText>
            </w:r>
            <w:r>
              <w:rPr>
                <w:noProof/>
                <w:webHidden/>
              </w:rPr>
            </w:r>
            <w:r>
              <w:rPr>
                <w:noProof/>
                <w:webHidden/>
              </w:rPr>
              <w:fldChar w:fldCharType="separate"/>
            </w:r>
            <w:r>
              <w:rPr>
                <w:noProof/>
                <w:webHidden/>
              </w:rPr>
              <w:t>10</w:t>
            </w:r>
            <w:r>
              <w:rPr>
                <w:noProof/>
                <w:webHidden/>
              </w:rPr>
              <w:fldChar w:fldCharType="end"/>
            </w:r>
          </w:hyperlink>
        </w:p>
        <w:p w14:paraId="1B831F38" w14:textId="57636C57"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599" w:history="1">
            <w:r w:rsidRPr="006958A6">
              <w:rPr>
                <w:rStyle w:val="Hipercze"/>
                <w:noProof/>
                <w:lang w:eastAsia="pl-PL"/>
              </w:rPr>
              <w:t>2.6.</w:t>
            </w:r>
            <w:r>
              <w:rPr>
                <w:rFonts w:asciiTheme="minorHAnsi" w:eastAsiaTheme="minorEastAsia" w:hAnsiTheme="minorHAnsi"/>
                <w:noProof/>
                <w:lang w:eastAsia="pl-PL"/>
              </w:rPr>
              <w:tab/>
            </w:r>
            <w:r w:rsidRPr="006958A6">
              <w:rPr>
                <w:rStyle w:val="Hipercze"/>
                <w:noProof/>
                <w:lang w:eastAsia="pl-PL"/>
              </w:rPr>
              <w:t>Fluorescence detector table</w:t>
            </w:r>
            <w:r>
              <w:rPr>
                <w:noProof/>
                <w:webHidden/>
              </w:rPr>
              <w:tab/>
            </w:r>
            <w:r>
              <w:rPr>
                <w:noProof/>
                <w:webHidden/>
              </w:rPr>
              <w:fldChar w:fldCharType="begin"/>
            </w:r>
            <w:r>
              <w:rPr>
                <w:noProof/>
                <w:webHidden/>
              </w:rPr>
              <w:instrText xml:space="preserve"> PAGEREF _Toc199507599 \h </w:instrText>
            </w:r>
            <w:r>
              <w:rPr>
                <w:noProof/>
                <w:webHidden/>
              </w:rPr>
            </w:r>
            <w:r>
              <w:rPr>
                <w:noProof/>
                <w:webHidden/>
              </w:rPr>
              <w:fldChar w:fldCharType="separate"/>
            </w:r>
            <w:r>
              <w:rPr>
                <w:noProof/>
                <w:webHidden/>
              </w:rPr>
              <w:t>11</w:t>
            </w:r>
            <w:r>
              <w:rPr>
                <w:noProof/>
                <w:webHidden/>
              </w:rPr>
              <w:fldChar w:fldCharType="end"/>
            </w:r>
          </w:hyperlink>
        </w:p>
        <w:p w14:paraId="10515D4C" w14:textId="7F102624"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600" w:history="1">
            <w:r w:rsidRPr="006958A6">
              <w:rPr>
                <w:rStyle w:val="Hipercze"/>
                <w:noProof/>
                <w:lang w:eastAsia="pl-PL"/>
              </w:rPr>
              <w:t>2.7.</w:t>
            </w:r>
            <w:r>
              <w:rPr>
                <w:rFonts w:asciiTheme="minorHAnsi" w:eastAsiaTheme="minorEastAsia" w:hAnsiTheme="minorHAnsi"/>
                <w:noProof/>
                <w:lang w:eastAsia="pl-PL"/>
              </w:rPr>
              <w:tab/>
            </w:r>
            <w:r w:rsidRPr="006958A6">
              <w:rPr>
                <w:rStyle w:val="Hipercze"/>
                <w:noProof/>
                <w:lang w:eastAsia="pl-PL"/>
              </w:rPr>
              <w:t>X-ray shutter</w:t>
            </w:r>
            <w:r>
              <w:rPr>
                <w:noProof/>
                <w:webHidden/>
              </w:rPr>
              <w:tab/>
            </w:r>
            <w:r>
              <w:rPr>
                <w:noProof/>
                <w:webHidden/>
              </w:rPr>
              <w:fldChar w:fldCharType="begin"/>
            </w:r>
            <w:r>
              <w:rPr>
                <w:noProof/>
                <w:webHidden/>
              </w:rPr>
              <w:instrText xml:space="preserve"> PAGEREF _Toc199507600 \h </w:instrText>
            </w:r>
            <w:r>
              <w:rPr>
                <w:noProof/>
                <w:webHidden/>
              </w:rPr>
            </w:r>
            <w:r>
              <w:rPr>
                <w:noProof/>
                <w:webHidden/>
              </w:rPr>
              <w:fldChar w:fldCharType="separate"/>
            </w:r>
            <w:r>
              <w:rPr>
                <w:noProof/>
                <w:webHidden/>
              </w:rPr>
              <w:t>11</w:t>
            </w:r>
            <w:r>
              <w:rPr>
                <w:noProof/>
                <w:webHidden/>
              </w:rPr>
              <w:fldChar w:fldCharType="end"/>
            </w:r>
          </w:hyperlink>
        </w:p>
        <w:p w14:paraId="1C74D7B2" w14:textId="66BC3D1A"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601" w:history="1">
            <w:r w:rsidRPr="006958A6">
              <w:rPr>
                <w:rStyle w:val="Hipercze"/>
                <w:noProof/>
                <w:lang w:eastAsia="pl-PL"/>
              </w:rPr>
              <w:t>2.8.</w:t>
            </w:r>
            <w:r>
              <w:rPr>
                <w:rFonts w:asciiTheme="minorHAnsi" w:eastAsiaTheme="minorEastAsia" w:hAnsiTheme="minorHAnsi"/>
                <w:noProof/>
                <w:lang w:eastAsia="pl-PL"/>
              </w:rPr>
              <w:tab/>
            </w:r>
            <w:r w:rsidRPr="006958A6">
              <w:rPr>
                <w:rStyle w:val="Hipercze"/>
                <w:noProof/>
                <w:lang w:eastAsia="pl-PL"/>
              </w:rPr>
              <w:t>Interface box</w:t>
            </w:r>
            <w:r>
              <w:rPr>
                <w:noProof/>
                <w:webHidden/>
              </w:rPr>
              <w:tab/>
            </w:r>
            <w:r>
              <w:rPr>
                <w:noProof/>
                <w:webHidden/>
              </w:rPr>
              <w:fldChar w:fldCharType="begin"/>
            </w:r>
            <w:r>
              <w:rPr>
                <w:noProof/>
                <w:webHidden/>
              </w:rPr>
              <w:instrText xml:space="preserve"> PAGEREF _Toc199507601 \h </w:instrText>
            </w:r>
            <w:r>
              <w:rPr>
                <w:noProof/>
                <w:webHidden/>
              </w:rPr>
            </w:r>
            <w:r>
              <w:rPr>
                <w:noProof/>
                <w:webHidden/>
              </w:rPr>
              <w:fldChar w:fldCharType="separate"/>
            </w:r>
            <w:r>
              <w:rPr>
                <w:noProof/>
                <w:webHidden/>
              </w:rPr>
              <w:t>11</w:t>
            </w:r>
            <w:r>
              <w:rPr>
                <w:noProof/>
                <w:webHidden/>
              </w:rPr>
              <w:fldChar w:fldCharType="end"/>
            </w:r>
          </w:hyperlink>
        </w:p>
        <w:p w14:paraId="49838C26" w14:textId="77D99DA8"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602" w:history="1">
            <w:r w:rsidRPr="006958A6">
              <w:rPr>
                <w:rStyle w:val="Hipercze"/>
                <w:noProof/>
              </w:rPr>
              <w:t>2.9.</w:t>
            </w:r>
            <w:r>
              <w:rPr>
                <w:rFonts w:asciiTheme="minorHAnsi" w:eastAsiaTheme="minorEastAsia" w:hAnsiTheme="minorHAnsi"/>
                <w:noProof/>
                <w:lang w:eastAsia="pl-PL"/>
              </w:rPr>
              <w:tab/>
            </w:r>
            <w:r w:rsidRPr="006958A6">
              <w:rPr>
                <w:rStyle w:val="Hipercze"/>
                <w:noProof/>
              </w:rPr>
              <w:t>Alignment laser</w:t>
            </w:r>
            <w:r>
              <w:rPr>
                <w:noProof/>
                <w:webHidden/>
              </w:rPr>
              <w:tab/>
            </w:r>
            <w:r>
              <w:rPr>
                <w:noProof/>
                <w:webHidden/>
              </w:rPr>
              <w:fldChar w:fldCharType="begin"/>
            </w:r>
            <w:r>
              <w:rPr>
                <w:noProof/>
                <w:webHidden/>
              </w:rPr>
              <w:instrText xml:space="preserve"> PAGEREF _Toc199507602 \h </w:instrText>
            </w:r>
            <w:r>
              <w:rPr>
                <w:noProof/>
                <w:webHidden/>
              </w:rPr>
            </w:r>
            <w:r>
              <w:rPr>
                <w:noProof/>
                <w:webHidden/>
              </w:rPr>
              <w:fldChar w:fldCharType="separate"/>
            </w:r>
            <w:r>
              <w:rPr>
                <w:noProof/>
                <w:webHidden/>
              </w:rPr>
              <w:t>11</w:t>
            </w:r>
            <w:r>
              <w:rPr>
                <w:noProof/>
                <w:webHidden/>
              </w:rPr>
              <w:fldChar w:fldCharType="end"/>
            </w:r>
          </w:hyperlink>
        </w:p>
        <w:p w14:paraId="56A46864" w14:textId="65840517" w:rsidR="00FE108C" w:rsidRDefault="00FE108C">
          <w:pPr>
            <w:pStyle w:val="Spistreci2"/>
            <w:tabs>
              <w:tab w:val="left" w:pos="1200"/>
              <w:tab w:val="right" w:leader="dot" w:pos="9062"/>
            </w:tabs>
            <w:rPr>
              <w:rFonts w:asciiTheme="minorHAnsi" w:eastAsiaTheme="minorEastAsia" w:hAnsiTheme="minorHAnsi"/>
              <w:noProof/>
              <w:lang w:eastAsia="pl-PL"/>
            </w:rPr>
          </w:pPr>
          <w:hyperlink w:anchor="_Toc199507603" w:history="1">
            <w:r w:rsidRPr="006958A6">
              <w:rPr>
                <w:rStyle w:val="Hipercze"/>
                <w:noProof/>
                <w:lang w:eastAsia="pl-PL"/>
              </w:rPr>
              <w:t>2.10.</w:t>
            </w:r>
            <w:r>
              <w:rPr>
                <w:rFonts w:asciiTheme="minorHAnsi" w:eastAsiaTheme="minorEastAsia" w:hAnsiTheme="minorHAnsi"/>
                <w:noProof/>
                <w:lang w:eastAsia="pl-PL"/>
              </w:rPr>
              <w:tab/>
            </w:r>
            <w:r w:rsidRPr="006958A6">
              <w:rPr>
                <w:rStyle w:val="Hipercze"/>
                <w:noProof/>
                <w:lang w:eastAsia="pl-PL"/>
              </w:rPr>
              <w:t>Control</w:t>
            </w:r>
            <w:r>
              <w:rPr>
                <w:noProof/>
                <w:webHidden/>
              </w:rPr>
              <w:tab/>
            </w:r>
            <w:r>
              <w:rPr>
                <w:noProof/>
                <w:webHidden/>
              </w:rPr>
              <w:fldChar w:fldCharType="begin"/>
            </w:r>
            <w:r>
              <w:rPr>
                <w:noProof/>
                <w:webHidden/>
              </w:rPr>
              <w:instrText xml:space="preserve"> PAGEREF _Toc199507603 \h </w:instrText>
            </w:r>
            <w:r>
              <w:rPr>
                <w:noProof/>
                <w:webHidden/>
              </w:rPr>
            </w:r>
            <w:r>
              <w:rPr>
                <w:noProof/>
                <w:webHidden/>
              </w:rPr>
              <w:fldChar w:fldCharType="separate"/>
            </w:r>
            <w:r>
              <w:rPr>
                <w:noProof/>
                <w:webHidden/>
              </w:rPr>
              <w:t>11</w:t>
            </w:r>
            <w:r>
              <w:rPr>
                <w:noProof/>
                <w:webHidden/>
              </w:rPr>
              <w:fldChar w:fldCharType="end"/>
            </w:r>
          </w:hyperlink>
        </w:p>
        <w:p w14:paraId="7C45B551" w14:textId="1F1E0272" w:rsidR="00FE108C" w:rsidRDefault="00FE108C">
          <w:pPr>
            <w:pStyle w:val="Spistreci1"/>
            <w:tabs>
              <w:tab w:val="right" w:leader="dot" w:pos="9062"/>
            </w:tabs>
            <w:rPr>
              <w:rFonts w:asciiTheme="minorHAnsi" w:eastAsiaTheme="minorEastAsia" w:hAnsiTheme="minorHAnsi"/>
              <w:noProof/>
              <w:lang w:eastAsia="pl-PL"/>
            </w:rPr>
          </w:pPr>
          <w:hyperlink w:anchor="_Toc199507604" w:history="1">
            <w:r w:rsidRPr="006958A6">
              <w:rPr>
                <w:rStyle w:val="Hipercze"/>
                <w:noProof/>
              </w:rPr>
              <w:t>3. Additional conditions – applies to part 2</w:t>
            </w:r>
            <w:r>
              <w:rPr>
                <w:noProof/>
                <w:webHidden/>
              </w:rPr>
              <w:tab/>
            </w:r>
            <w:r>
              <w:rPr>
                <w:noProof/>
                <w:webHidden/>
              </w:rPr>
              <w:fldChar w:fldCharType="begin"/>
            </w:r>
            <w:r>
              <w:rPr>
                <w:noProof/>
                <w:webHidden/>
              </w:rPr>
              <w:instrText xml:space="preserve"> PAGEREF _Toc199507604 \h </w:instrText>
            </w:r>
            <w:r>
              <w:rPr>
                <w:noProof/>
                <w:webHidden/>
              </w:rPr>
            </w:r>
            <w:r>
              <w:rPr>
                <w:noProof/>
                <w:webHidden/>
              </w:rPr>
              <w:fldChar w:fldCharType="separate"/>
            </w:r>
            <w:r>
              <w:rPr>
                <w:noProof/>
                <w:webHidden/>
              </w:rPr>
              <w:t>12</w:t>
            </w:r>
            <w:r>
              <w:rPr>
                <w:noProof/>
                <w:webHidden/>
              </w:rPr>
              <w:fldChar w:fldCharType="end"/>
            </w:r>
          </w:hyperlink>
        </w:p>
        <w:p w14:paraId="1949E155" w14:textId="68E94D57"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605" w:history="1">
            <w:r w:rsidRPr="006958A6">
              <w:rPr>
                <w:rStyle w:val="Hipercze"/>
                <w:noProof/>
                <w:lang w:eastAsia="pl-PL"/>
              </w:rPr>
              <w:t>3.1.</w:t>
            </w:r>
            <w:r>
              <w:rPr>
                <w:rFonts w:asciiTheme="minorHAnsi" w:eastAsiaTheme="minorEastAsia" w:hAnsiTheme="minorHAnsi"/>
                <w:noProof/>
                <w:lang w:eastAsia="pl-PL"/>
              </w:rPr>
              <w:tab/>
            </w:r>
            <w:r w:rsidRPr="006958A6">
              <w:rPr>
                <w:rStyle w:val="Hipercze"/>
                <w:noProof/>
                <w:lang w:eastAsia="pl-PL"/>
              </w:rPr>
              <w:t>Final design</w:t>
            </w:r>
            <w:r>
              <w:rPr>
                <w:noProof/>
                <w:webHidden/>
              </w:rPr>
              <w:tab/>
            </w:r>
            <w:r>
              <w:rPr>
                <w:noProof/>
                <w:webHidden/>
              </w:rPr>
              <w:fldChar w:fldCharType="begin"/>
            </w:r>
            <w:r>
              <w:rPr>
                <w:noProof/>
                <w:webHidden/>
              </w:rPr>
              <w:instrText xml:space="preserve"> PAGEREF _Toc199507605 \h </w:instrText>
            </w:r>
            <w:r>
              <w:rPr>
                <w:noProof/>
                <w:webHidden/>
              </w:rPr>
            </w:r>
            <w:r>
              <w:rPr>
                <w:noProof/>
                <w:webHidden/>
              </w:rPr>
              <w:fldChar w:fldCharType="separate"/>
            </w:r>
            <w:r>
              <w:rPr>
                <w:noProof/>
                <w:webHidden/>
              </w:rPr>
              <w:t>12</w:t>
            </w:r>
            <w:r>
              <w:rPr>
                <w:noProof/>
                <w:webHidden/>
              </w:rPr>
              <w:fldChar w:fldCharType="end"/>
            </w:r>
          </w:hyperlink>
        </w:p>
        <w:p w14:paraId="42564BED" w14:textId="3B9F066F" w:rsidR="00FE108C" w:rsidRDefault="00FE108C">
          <w:pPr>
            <w:pStyle w:val="Spistreci2"/>
            <w:tabs>
              <w:tab w:val="left" w:pos="960"/>
              <w:tab w:val="right" w:leader="dot" w:pos="9062"/>
            </w:tabs>
            <w:rPr>
              <w:rFonts w:asciiTheme="minorHAnsi" w:eastAsiaTheme="minorEastAsia" w:hAnsiTheme="minorHAnsi"/>
              <w:noProof/>
              <w:lang w:eastAsia="pl-PL"/>
            </w:rPr>
          </w:pPr>
          <w:hyperlink w:anchor="_Toc199507606" w:history="1">
            <w:r w:rsidRPr="006958A6">
              <w:rPr>
                <w:rStyle w:val="Hipercze"/>
                <w:noProof/>
                <w:lang w:val="en-GB" w:eastAsia="pl-PL"/>
              </w:rPr>
              <w:t>3.2.</w:t>
            </w:r>
            <w:r>
              <w:rPr>
                <w:rFonts w:asciiTheme="minorHAnsi" w:eastAsiaTheme="minorEastAsia" w:hAnsiTheme="minorHAnsi"/>
                <w:noProof/>
                <w:lang w:eastAsia="pl-PL"/>
              </w:rPr>
              <w:tab/>
            </w:r>
            <w:r w:rsidRPr="006958A6">
              <w:rPr>
                <w:rStyle w:val="Hipercze"/>
                <w:noProof/>
                <w:lang w:val="en-GB" w:eastAsia="pl-PL"/>
              </w:rPr>
              <w:t>Delivery, installation and Site Acceptance Tests</w:t>
            </w:r>
            <w:r>
              <w:rPr>
                <w:noProof/>
                <w:webHidden/>
              </w:rPr>
              <w:tab/>
            </w:r>
            <w:r>
              <w:rPr>
                <w:noProof/>
                <w:webHidden/>
              </w:rPr>
              <w:fldChar w:fldCharType="begin"/>
            </w:r>
            <w:r>
              <w:rPr>
                <w:noProof/>
                <w:webHidden/>
              </w:rPr>
              <w:instrText xml:space="preserve"> PAGEREF _Toc199507606 \h </w:instrText>
            </w:r>
            <w:r>
              <w:rPr>
                <w:noProof/>
                <w:webHidden/>
              </w:rPr>
            </w:r>
            <w:r>
              <w:rPr>
                <w:noProof/>
                <w:webHidden/>
              </w:rPr>
              <w:fldChar w:fldCharType="separate"/>
            </w:r>
            <w:r>
              <w:rPr>
                <w:noProof/>
                <w:webHidden/>
              </w:rPr>
              <w:t>12</w:t>
            </w:r>
            <w:r>
              <w:rPr>
                <w:noProof/>
                <w:webHidden/>
              </w:rPr>
              <w:fldChar w:fldCharType="end"/>
            </w:r>
          </w:hyperlink>
        </w:p>
        <w:p w14:paraId="03AB98F8" w14:textId="32E646F5" w:rsidR="00FE108C" w:rsidRPr="00FE108C" w:rsidRDefault="00FE108C">
          <w:pPr>
            <w:pStyle w:val="Spistreci1"/>
            <w:tabs>
              <w:tab w:val="right" w:leader="dot" w:pos="9062"/>
            </w:tabs>
            <w:rPr>
              <w:rFonts w:asciiTheme="minorHAnsi" w:eastAsiaTheme="minorEastAsia" w:hAnsiTheme="minorHAnsi"/>
              <w:b/>
              <w:bCs/>
              <w:noProof/>
              <w:lang w:eastAsia="pl-PL"/>
            </w:rPr>
          </w:pPr>
          <w:hyperlink w:anchor="_Toc199507607" w:history="1">
            <w:r w:rsidRPr="00FE108C">
              <w:rPr>
                <w:rStyle w:val="Hipercze"/>
                <w:b/>
                <w:bCs/>
                <w:noProof/>
              </w:rPr>
              <w:t>Appendices</w:t>
            </w:r>
            <w:r w:rsidRPr="00FE108C">
              <w:rPr>
                <w:b/>
                <w:bCs/>
                <w:noProof/>
                <w:webHidden/>
              </w:rPr>
              <w:tab/>
            </w:r>
            <w:r w:rsidRPr="00FE108C">
              <w:rPr>
                <w:b/>
                <w:bCs/>
                <w:noProof/>
                <w:webHidden/>
              </w:rPr>
              <w:fldChar w:fldCharType="begin"/>
            </w:r>
            <w:r w:rsidRPr="00FE108C">
              <w:rPr>
                <w:b/>
                <w:bCs/>
                <w:noProof/>
                <w:webHidden/>
              </w:rPr>
              <w:instrText xml:space="preserve"> PAGEREF _Toc199507607 \h </w:instrText>
            </w:r>
            <w:r w:rsidRPr="00FE108C">
              <w:rPr>
                <w:b/>
                <w:bCs/>
                <w:noProof/>
                <w:webHidden/>
              </w:rPr>
            </w:r>
            <w:r w:rsidRPr="00FE108C">
              <w:rPr>
                <w:b/>
                <w:bCs/>
                <w:noProof/>
                <w:webHidden/>
              </w:rPr>
              <w:fldChar w:fldCharType="separate"/>
            </w:r>
            <w:r w:rsidRPr="00FE108C">
              <w:rPr>
                <w:b/>
                <w:bCs/>
                <w:noProof/>
                <w:webHidden/>
              </w:rPr>
              <w:t>13</w:t>
            </w:r>
            <w:r w:rsidRPr="00FE108C">
              <w:rPr>
                <w:b/>
                <w:bCs/>
                <w:noProof/>
                <w:webHidden/>
              </w:rPr>
              <w:fldChar w:fldCharType="end"/>
            </w:r>
          </w:hyperlink>
        </w:p>
        <w:p w14:paraId="5EAB628F" w14:textId="69181BB6" w:rsidR="00683A08" w:rsidRDefault="00683A08">
          <w:r>
            <w:rPr>
              <w:b/>
              <w:bCs/>
            </w:rPr>
            <w:fldChar w:fldCharType="end"/>
          </w:r>
        </w:p>
      </w:sdtContent>
    </w:sdt>
    <w:p w14:paraId="6976AD95" w14:textId="4538E432" w:rsidR="00F77C71" w:rsidRPr="00F77C71" w:rsidRDefault="00683A08">
      <w:pPr>
        <w:spacing w:line="278" w:lineRule="auto"/>
        <w:jc w:val="left"/>
        <w:rPr>
          <w:b/>
          <w:bCs/>
          <w:lang w:val="en-US"/>
        </w:rPr>
      </w:pPr>
      <w:r>
        <w:rPr>
          <w:b/>
          <w:bCs/>
          <w:lang w:val="en-US"/>
        </w:rPr>
        <w:br w:type="page"/>
      </w:r>
    </w:p>
    <w:p w14:paraId="09857F7A" w14:textId="60932ACB" w:rsidR="002F7789" w:rsidRPr="00F77C71" w:rsidRDefault="00F77C71" w:rsidP="00061743">
      <w:pPr>
        <w:pStyle w:val="Nagwek1"/>
      </w:pPr>
      <w:bookmarkStart w:id="0" w:name="_Toc199507581"/>
      <w:r w:rsidRPr="00061743">
        <w:rPr>
          <w:b/>
          <w:bCs/>
        </w:rPr>
        <w:lastRenderedPageBreak/>
        <w:t>Part 1</w:t>
      </w:r>
      <w:r w:rsidRPr="00F77C71">
        <w:t>:</w:t>
      </w:r>
      <w:bookmarkEnd w:id="0"/>
      <w:r w:rsidRPr="00F77C71">
        <w:t xml:space="preserve"> </w:t>
      </w:r>
    </w:p>
    <w:p w14:paraId="6178198D" w14:textId="77777777" w:rsidR="002F7789" w:rsidRDefault="002F7789" w:rsidP="00061743">
      <w:pPr>
        <w:pStyle w:val="Nagwek1"/>
        <w:numPr>
          <w:ilvl w:val="0"/>
          <w:numId w:val="1"/>
        </w:numPr>
      </w:pPr>
      <w:bookmarkStart w:id="1" w:name="_Toc199507582"/>
      <w:r>
        <w:t>General information</w:t>
      </w:r>
      <w:bookmarkEnd w:id="1"/>
    </w:p>
    <w:p w14:paraId="577912D5" w14:textId="162384CF" w:rsidR="002F7789" w:rsidRDefault="002F7789" w:rsidP="002F7789">
      <w:pPr>
        <w:ind w:firstLine="360"/>
        <w:rPr>
          <w:lang w:val="en-US"/>
        </w:rPr>
      </w:pPr>
      <w:r>
        <w:rPr>
          <w:lang w:val="en-US"/>
        </w:rPr>
        <w:t xml:space="preserve">The objective of this tender is the manufacturing, delivery and installation of Hybrid Photon Counting detector for macromolecular X-ray crystallography. The device will be installed at a SOLCRYS (ARYA) beamline at SOLARIS National Synchrotron Radiation Centre in Krakow, Poland. </w:t>
      </w:r>
    </w:p>
    <w:p w14:paraId="5AD462B3" w14:textId="324E4E3A" w:rsidR="002F7789" w:rsidRPr="00770FBF" w:rsidRDefault="002F7789" w:rsidP="002F7789">
      <w:pPr>
        <w:ind w:firstLine="360"/>
        <w:rPr>
          <w:lang w:val="en-US"/>
        </w:rPr>
      </w:pPr>
      <w:r w:rsidRPr="5D73C5BC">
        <w:rPr>
          <w:lang w:val="en-US"/>
        </w:rPr>
        <w:t xml:space="preserve">The SOLCRYS beamline is designed for macromolecular crystallography (MX) using synchrotron radiation in the energy range from 4 to 22 keV. The expected research capabilities of the MX end station include tunable radiation wavelength for multi-wavelength anomalous diffraction (MAD) experiments and high-flux mode for standard (routine) diffraction data collection on protein crystals. Expected technical parameters of the beamline are presented in Table 1. </w:t>
      </w:r>
    </w:p>
    <w:p w14:paraId="20DB4765" w14:textId="77777777" w:rsidR="002F7789" w:rsidRPr="00147095" w:rsidRDefault="002F7789" w:rsidP="002F7789">
      <w:pPr>
        <w:pStyle w:val="Podpistabela"/>
        <w:rPr>
          <w:b/>
          <w:bCs/>
          <w:lang w:val="en-US"/>
        </w:rPr>
      </w:pPr>
      <w:r w:rsidRPr="00147095">
        <w:rPr>
          <w:b/>
          <w:bCs/>
          <w:lang w:val="en-US"/>
        </w:rPr>
        <w:t xml:space="preserve">Table </w:t>
      </w:r>
      <w:r w:rsidRPr="00147095">
        <w:rPr>
          <w:b/>
          <w:bCs/>
          <w:lang w:val="en-US"/>
        </w:rPr>
        <w:fldChar w:fldCharType="begin"/>
      </w:r>
      <w:r w:rsidRPr="00147095">
        <w:rPr>
          <w:b/>
          <w:bCs/>
          <w:lang w:val="en-US"/>
        </w:rPr>
        <w:instrText xml:space="preserve"> SEQ Table \* ARABIC </w:instrText>
      </w:r>
      <w:r w:rsidRPr="00147095">
        <w:rPr>
          <w:b/>
          <w:bCs/>
          <w:lang w:val="en-US"/>
        </w:rPr>
        <w:fldChar w:fldCharType="separate"/>
      </w:r>
      <w:r w:rsidRPr="00147095">
        <w:rPr>
          <w:b/>
          <w:bCs/>
          <w:noProof/>
          <w:lang w:val="en-US"/>
        </w:rPr>
        <w:t>1</w:t>
      </w:r>
      <w:r w:rsidRPr="00147095">
        <w:rPr>
          <w:b/>
          <w:bCs/>
          <w:lang w:val="en-US"/>
        </w:rPr>
        <w:fldChar w:fldCharType="end"/>
      </w:r>
      <w:r w:rsidRPr="00147095">
        <w:rPr>
          <w:b/>
          <w:bCs/>
          <w:lang w:val="en-US"/>
        </w:rPr>
        <w:t xml:space="preserve">. Expected technical parameters of the SOLCRYS beamline. </w:t>
      </w:r>
    </w:p>
    <w:tbl>
      <w:tblPr>
        <w:tblStyle w:val="Tabela-Siatka"/>
        <w:tblW w:w="0" w:type="auto"/>
        <w:jc w:val="center"/>
        <w:tblLook w:val="04A0" w:firstRow="1" w:lastRow="0" w:firstColumn="1" w:lastColumn="0" w:noHBand="0" w:noVBand="1"/>
      </w:tblPr>
      <w:tblGrid>
        <w:gridCol w:w="2972"/>
        <w:gridCol w:w="2126"/>
      </w:tblGrid>
      <w:tr w:rsidR="002F7789" w:rsidRPr="00770FBF" w14:paraId="31E33F5B" w14:textId="77777777" w:rsidTr="007C5CC7">
        <w:trPr>
          <w:trHeight w:val="300"/>
          <w:jc w:val="center"/>
        </w:trPr>
        <w:tc>
          <w:tcPr>
            <w:tcW w:w="2972" w:type="dxa"/>
            <w:vAlign w:val="center"/>
          </w:tcPr>
          <w:p w14:paraId="174EA36B" w14:textId="77777777" w:rsidR="002F7789" w:rsidRPr="00770FBF" w:rsidRDefault="002F7789" w:rsidP="007C5CC7">
            <w:pPr>
              <w:jc w:val="left"/>
              <w:rPr>
                <w:rFonts w:cs="Times New Roman"/>
                <w:lang w:val="en-US"/>
              </w:rPr>
            </w:pPr>
            <w:r w:rsidRPr="00770FBF">
              <w:rPr>
                <w:rFonts w:cs="Times New Roman"/>
                <w:lang w:val="en-US"/>
              </w:rPr>
              <w:t>Energy range</w:t>
            </w:r>
          </w:p>
        </w:tc>
        <w:tc>
          <w:tcPr>
            <w:tcW w:w="2126" w:type="dxa"/>
            <w:vAlign w:val="center"/>
          </w:tcPr>
          <w:p w14:paraId="3EDFFC6A" w14:textId="77777777" w:rsidR="002F7789" w:rsidRPr="00770FBF" w:rsidRDefault="002F7789" w:rsidP="007C5CC7">
            <w:pPr>
              <w:jc w:val="left"/>
              <w:rPr>
                <w:rFonts w:cs="Times New Roman"/>
                <w:lang w:val="en-US"/>
              </w:rPr>
            </w:pPr>
            <w:r w:rsidRPr="00770FBF">
              <w:rPr>
                <w:rFonts w:cs="Times New Roman"/>
                <w:lang w:val="en-US"/>
              </w:rPr>
              <w:t>4-22 keV</w:t>
            </w:r>
          </w:p>
        </w:tc>
      </w:tr>
      <w:tr w:rsidR="002F7789" w:rsidRPr="00770FBF" w14:paraId="21B89515" w14:textId="77777777" w:rsidTr="007C5CC7">
        <w:trPr>
          <w:trHeight w:val="300"/>
          <w:jc w:val="center"/>
        </w:trPr>
        <w:tc>
          <w:tcPr>
            <w:tcW w:w="2972" w:type="dxa"/>
            <w:vAlign w:val="center"/>
          </w:tcPr>
          <w:p w14:paraId="76025F85" w14:textId="77777777" w:rsidR="002F7789" w:rsidRPr="00770FBF" w:rsidRDefault="002F7789" w:rsidP="007C5CC7">
            <w:pPr>
              <w:jc w:val="left"/>
              <w:rPr>
                <w:rFonts w:cs="Times New Roman"/>
                <w:lang w:val="en-US"/>
              </w:rPr>
            </w:pPr>
            <w:r w:rsidRPr="00770FBF">
              <w:rPr>
                <w:rFonts w:cs="Times New Roman"/>
                <w:lang w:val="en-US"/>
              </w:rPr>
              <w:t>Beam size at a sample</w:t>
            </w:r>
          </w:p>
        </w:tc>
        <w:tc>
          <w:tcPr>
            <w:tcW w:w="2126" w:type="dxa"/>
            <w:vAlign w:val="center"/>
          </w:tcPr>
          <w:p w14:paraId="54176CDF" w14:textId="77777777" w:rsidR="002F7789" w:rsidRPr="00770FBF" w:rsidRDefault="002F7789" w:rsidP="007C5CC7">
            <w:pPr>
              <w:jc w:val="left"/>
              <w:rPr>
                <w:rFonts w:cs="Times New Roman"/>
                <w:lang w:val="en-US"/>
              </w:rPr>
            </w:pPr>
            <w:r w:rsidRPr="00770FBF">
              <w:rPr>
                <w:rFonts w:cs="Times New Roman"/>
                <w:lang w:val="en-US"/>
              </w:rPr>
              <w:t>260 x 80 µm</w:t>
            </w:r>
          </w:p>
        </w:tc>
      </w:tr>
      <w:tr w:rsidR="002F7789" w:rsidRPr="00770FBF" w14:paraId="099CA69C" w14:textId="77777777" w:rsidTr="007C5CC7">
        <w:trPr>
          <w:trHeight w:val="300"/>
          <w:jc w:val="center"/>
        </w:trPr>
        <w:tc>
          <w:tcPr>
            <w:tcW w:w="2972" w:type="dxa"/>
            <w:vAlign w:val="center"/>
          </w:tcPr>
          <w:p w14:paraId="413C19F3" w14:textId="77777777" w:rsidR="002F7789" w:rsidRPr="00770FBF" w:rsidRDefault="002F7789" w:rsidP="007C5CC7">
            <w:pPr>
              <w:jc w:val="left"/>
              <w:rPr>
                <w:rFonts w:cs="Times New Roman"/>
                <w:lang w:val="en-US"/>
              </w:rPr>
            </w:pPr>
            <w:r w:rsidRPr="00770FBF">
              <w:rPr>
                <w:rFonts w:cs="Times New Roman"/>
                <w:lang w:val="en-US"/>
              </w:rPr>
              <w:t xml:space="preserve">High resolution mode </w:t>
            </w:r>
            <w:r w:rsidRPr="00770FBF">
              <w:rPr>
                <w:rFonts w:cs="Times New Roman"/>
                <w:lang w:val="en-US"/>
              </w:rPr>
              <w:br/>
              <w:t>- flux at 12 keV</w:t>
            </w:r>
            <w:r w:rsidRPr="00770FBF">
              <w:rPr>
                <w:rFonts w:cs="Times New Roman"/>
                <w:lang w:val="en-US"/>
              </w:rPr>
              <w:br/>
              <w:t>- energy resolution</w:t>
            </w:r>
          </w:p>
        </w:tc>
        <w:tc>
          <w:tcPr>
            <w:tcW w:w="2126" w:type="dxa"/>
            <w:vAlign w:val="center"/>
          </w:tcPr>
          <w:p w14:paraId="39BC5885" w14:textId="77777777" w:rsidR="002F7789" w:rsidRPr="00770FBF" w:rsidRDefault="002F7789" w:rsidP="007C5CC7">
            <w:pPr>
              <w:jc w:val="left"/>
              <w:rPr>
                <w:rFonts w:cs="Times New Roman"/>
                <w:lang w:val="en-US"/>
              </w:rPr>
            </w:pPr>
            <w:r w:rsidRPr="00770FBF">
              <w:rPr>
                <w:rFonts w:cs="Times New Roman"/>
                <w:lang w:val="en-US"/>
              </w:rPr>
              <w:br/>
              <w:t>~10</w:t>
            </w:r>
            <w:r w:rsidRPr="00770FBF">
              <w:rPr>
                <w:rFonts w:cs="Times New Roman"/>
                <w:vertAlign w:val="superscript"/>
                <w:lang w:val="en-US"/>
              </w:rPr>
              <w:t>12</w:t>
            </w:r>
            <w:r w:rsidRPr="00770FBF">
              <w:rPr>
                <w:rFonts w:cs="Times New Roman"/>
                <w:lang w:val="en-US"/>
              </w:rPr>
              <w:t xml:space="preserve"> ph/s</w:t>
            </w:r>
            <w:r w:rsidRPr="00770FBF">
              <w:rPr>
                <w:rFonts w:cs="Times New Roman"/>
                <w:lang w:val="en-US"/>
              </w:rPr>
              <w:br/>
            </w:r>
            <w:r w:rsidRPr="00770FBF">
              <w:rPr>
                <w:rFonts w:eastAsia="Calibri" w:cs="Times New Roman"/>
                <w:lang w:val="en-US"/>
              </w:rPr>
              <w:t>1.4x10</w:t>
            </w:r>
            <w:r w:rsidRPr="00770FBF">
              <w:rPr>
                <w:rFonts w:eastAsia="Calibri" w:cs="Times New Roman"/>
                <w:vertAlign w:val="superscript"/>
                <w:lang w:val="en-US"/>
              </w:rPr>
              <w:t>-4</w:t>
            </w:r>
            <w:r w:rsidRPr="00770FBF">
              <w:rPr>
                <w:rFonts w:eastAsia="Calibri" w:cs="Times New Roman"/>
                <w:lang w:val="en-US"/>
              </w:rPr>
              <w:t xml:space="preserve"> (</w:t>
            </w:r>
            <w:r w:rsidRPr="00770FBF">
              <w:rPr>
                <w:rFonts w:cs="Times New Roman"/>
                <w:color w:val="444444"/>
                <w:sz w:val="21"/>
                <w:szCs w:val="21"/>
                <w:lang w:val="en-US"/>
              </w:rPr>
              <w:t>ΔE/E)</w:t>
            </w:r>
          </w:p>
        </w:tc>
      </w:tr>
      <w:tr w:rsidR="002F7789" w:rsidRPr="00770FBF" w14:paraId="33901AF1" w14:textId="77777777" w:rsidTr="007C5CC7">
        <w:trPr>
          <w:trHeight w:val="300"/>
          <w:jc w:val="center"/>
        </w:trPr>
        <w:tc>
          <w:tcPr>
            <w:tcW w:w="2972" w:type="dxa"/>
            <w:vAlign w:val="center"/>
          </w:tcPr>
          <w:p w14:paraId="59B05C4D" w14:textId="77777777" w:rsidR="002F7789" w:rsidRPr="00770FBF" w:rsidRDefault="002F7789" w:rsidP="007C5CC7">
            <w:pPr>
              <w:jc w:val="left"/>
              <w:rPr>
                <w:rFonts w:cs="Times New Roman"/>
                <w:lang w:val="en-US"/>
              </w:rPr>
            </w:pPr>
            <w:r w:rsidRPr="00770FBF">
              <w:rPr>
                <w:rFonts w:cs="Times New Roman"/>
                <w:lang w:val="en-US"/>
              </w:rPr>
              <w:t>High flux mode</w:t>
            </w:r>
            <w:r w:rsidRPr="00770FBF">
              <w:rPr>
                <w:rFonts w:cs="Times New Roman"/>
                <w:lang w:val="en-US"/>
              </w:rPr>
              <w:br/>
              <w:t>- flux at 12 keV</w:t>
            </w:r>
            <w:r w:rsidRPr="00770FBF">
              <w:rPr>
                <w:rFonts w:cs="Times New Roman"/>
                <w:lang w:val="en-US"/>
              </w:rPr>
              <w:br/>
              <w:t>- energy resolution</w:t>
            </w:r>
          </w:p>
        </w:tc>
        <w:tc>
          <w:tcPr>
            <w:tcW w:w="2126" w:type="dxa"/>
            <w:vAlign w:val="center"/>
          </w:tcPr>
          <w:p w14:paraId="5DD1E790" w14:textId="77777777" w:rsidR="002F7789" w:rsidRPr="00770FBF" w:rsidRDefault="002F7789" w:rsidP="007C5CC7">
            <w:pPr>
              <w:jc w:val="left"/>
              <w:rPr>
                <w:rFonts w:cs="Times New Roman"/>
                <w:lang w:val="en-US"/>
              </w:rPr>
            </w:pPr>
          </w:p>
          <w:p w14:paraId="58AD673D" w14:textId="77777777" w:rsidR="002F7789" w:rsidRPr="00770FBF" w:rsidRDefault="002F7789" w:rsidP="007C5CC7">
            <w:pPr>
              <w:jc w:val="left"/>
              <w:rPr>
                <w:rFonts w:cs="Times New Roman"/>
                <w:lang w:val="en-US"/>
              </w:rPr>
            </w:pPr>
            <w:r w:rsidRPr="00770FBF">
              <w:rPr>
                <w:rFonts w:cs="Times New Roman"/>
                <w:lang w:val="en-US"/>
              </w:rPr>
              <w:t>~10</w:t>
            </w:r>
            <w:r w:rsidRPr="00770FBF">
              <w:rPr>
                <w:rFonts w:cs="Times New Roman"/>
                <w:vertAlign w:val="superscript"/>
                <w:lang w:val="en-US"/>
              </w:rPr>
              <w:t>13</w:t>
            </w:r>
            <w:r w:rsidRPr="00770FBF">
              <w:rPr>
                <w:rFonts w:cs="Times New Roman"/>
                <w:lang w:val="en-US"/>
              </w:rPr>
              <w:t xml:space="preserve"> ph/s</w:t>
            </w:r>
          </w:p>
          <w:p w14:paraId="0F5E6688" w14:textId="77777777" w:rsidR="002F7789" w:rsidRPr="00770FBF" w:rsidRDefault="002F7789" w:rsidP="007C5CC7">
            <w:pPr>
              <w:jc w:val="left"/>
              <w:rPr>
                <w:rFonts w:cs="Times New Roman"/>
                <w:lang w:val="en-US"/>
              </w:rPr>
            </w:pPr>
            <w:r w:rsidRPr="00770FBF">
              <w:rPr>
                <w:rFonts w:cs="Times New Roman"/>
                <w:lang w:val="en-US"/>
              </w:rPr>
              <w:t xml:space="preserve"> 0.5-1% (</w:t>
            </w:r>
            <w:r w:rsidRPr="00770FBF">
              <w:rPr>
                <w:rFonts w:cs="Times New Roman"/>
                <w:color w:val="444444"/>
                <w:sz w:val="21"/>
                <w:szCs w:val="21"/>
                <w:lang w:val="en-US"/>
              </w:rPr>
              <w:t>ΔE/E)</w:t>
            </w:r>
          </w:p>
        </w:tc>
      </w:tr>
      <w:tr w:rsidR="002F7789" w:rsidRPr="00770FBF" w14:paraId="6DEB4485" w14:textId="77777777" w:rsidTr="007C5CC7">
        <w:trPr>
          <w:trHeight w:val="300"/>
          <w:jc w:val="center"/>
        </w:trPr>
        <w:tc>
          <w:tcPr>
            <w:tcW w:w="2972" w:type="dxa"/>
            <w:vAlign w:val="center"/>
          </w:tcPr>
          <w:p w14:paraId="3A66577C" w14:textId="77777777" w:rsidR="002F7789" w:rsidRPr="00770FBF" w:rsidRDefault="002F7789" w:rsidP="007C5CC7">
            <w:pPr>
              <w:jc w:val="left"/>
              <w:rPr>
                <w:rFonts w:cs="Times New Roman"/>
                <w:lang w:val="en-US"/>
              </w:rPr>
            </w:pPr>
            <w:r w:rsidRPr="00770FBF">
              <w:rPr>
                <w:rFonts w:cs="Times New Roman"/>
                <w:lang w:val="en-US"/>
              </w:rPr>
              <w:t>Divergence</w:t>
            </w:r>
          </w:p>
        </w:tc>
        <w:tc>
          <w:tcPr>
            <w:tcW w:w="2126" w:type="dxa"/>
            <w:vAlign w:val="center"/>
          </w:tcPr>
          <w:p w14:paraId="0336F1EA" w14:textId="77777777" w:rsidR="002F7789" w:rsidRPr="00770FBF" w:rsidRDefault="002F7789" w:rsidP="007C5CC7">
            <w:pPr>
              <w:jc w:val="left"/>
              <w:rPr>
                <w:rFonts w:cs="Times New Roman"/>
                <w:lang w:val="en-US"/>
              </w:rPr>
            </w:pPr>
            <w:r w:rsidRPr="00770FBF">
              <w:rPr>
                <w:rFonts w:cs="Times New Roman"/>
                <w:lang w:val="en-US"/>
              </w:rPr>
              <w:t>1.9 mrad x 0.3 mrad</w:t>
            </w:r>
          </w:p>
        </w:tc>
      </w:tr>
      <w:tr w:rsidR="002F7789" w:rsidRPr="00770FBF" w14:paraId="1582F851" w14:textId="77777777" w:rsidTr="007C5CC7">
        <w:trPr>
          <w:trHeight w:val="300"/>
          <w:jc w:val="center"/>
        </w:trPr>
        <w:tc>
          <w:tcPr>
            <w:tcW w:w="2972" w:type="dxa"/>
            <w:vAlign w:val="center"/>
          </w:tcPr>
          <w:p w14:paraId="75B08A17" w14:textId="77777777" w:rsidR="002F7789" w:rsidRPr="00770FBF" w:rsidRDefault="002F7789" w:rsidP="007C5CC7">
            <w:pPr>
              <w:jc w:val="left"/>
              <w:rPr>
                <w:rFonts w:cs="Times New Roman"/>
                <w:highlight w:val="yellow"/>
                <w:lang w:val="en-US"/>
              </w:rPr>
            </w:pPr>
            <w:r w:rsidRPr="00770FBF">
              <w:rPr>
                <w:rFonts w:cs="Times New Roman"/>
                <w:lang w:val="en-US"/>
              </w:rPr>
              <w:t>Position of a sample</w:t>
            </w:r>
          </w:p>
        </w:tc>
        <w:tc>
          <w:tcPr>
            <w:tcW w:w="2126" w:type="dxa"/>
            <w:vAlign w:val="center"/>
          </w:tcPr>
          <w:p w14:paraId="10AE9B28" w14:textId="77777777" w:rsidR="002F7789" w:rsidRPr="00770FBF" w:rsidRDefault="002F7789" w:rsidP="007C5CC7">
            <w:pPr>
              <w:jc w:val="left"/>
              <w:rPr>
                <w:rFonts w:cs="Times New Roman"/>
                <w:lang w:val="en-US"/>
              </w:rPr>
            </w:pPr>
            <w:r w:rsidRPr="00770FBF">
              <w:rPr>
                <w:rFonts w:cs="Times New Roman"/>
                <w:lang w:val="en-US"/>
              </w:rPr>
              <w:t>42 m from source</w:t>
            </w:r>
          </w:p>
        </w:tc>
      </w:tr>
    </w:tbl>
    <w:p w14:paraId="5C7D0A66" w14:textId="77777777" w:rsidR="002F7789" w:rsidRDefault="002F7789" w:rsidP="002F7789">
      <w:pPr>
        <w:ind w:firstLine="360"/>
        <w:rPr>
          <w:lang w:val="en-US"/>
        </w:rPr>
      </w:pPr>
    </w:p>
    <w:p w14:paraId="4404D621" w14:textId="77777777" w:rsidR="002F7789" w:rsidRDefault="002F7789" w:rsidP="00061743">
      <w:pPr>
        <w:pStyle w:val="Nagwek1"/>
        <w:numPr>
          <w:ilvl w:val="0"/>
          <w:numId w:val="1"/>
        </w:numPr>
      </w:pPr>
      <w:bookmarkStart w:id="2" w:name="_Toc199507583"/>
      <w:r>
        <w:t>General specification of the scope of delivery</w:t>
      </w:r>
      <w:bookmarkEnd w:id="2"/>
      <w:r>
        <w:t xml:space="preserve"> </w:t>
      </w:r>
    </w:p>
    <w:p w14:paraId="0897791F" w14:textId="25B6C4A1" w:rsidR="002F7789" w:rsidRPr="00F77C71" w:rsidRDefault="002F7789" w:rsidP="00F77C71">
      <w:pPr>
        <w:rPr>
          <w:lang w:val="en-GB"/>
        </w:rPr>
      </w:pPr>
      <w:r w:rsidRPr="5D73C5BC">
        <w:rPr>
          <w:lang w:val="en-US"/>
        </w:rPr>
        <w:t>The Contractor shall manufacture</w:t>
      </w:r>
      <w:r w:rsidR="0E2792C0" w:rsidRPr="5D73C5BC">
        <w:rPr>
          <w:lang w:val="en-US"/>
        </w:rPr>
        <w:t xml:space="preserve">, </w:t>
      </w:r>
      <w:r w:rsidRPr="5D73C5BC">
        <w:rPr>
          <w:lang w:val="en-US"/>
        </w:rPr>
        <w:t xml:space="preserve">deliver </w:t>
      </w:r>
      <w:r w:rsidR="1ED15B5F" w:rsidRPr="5D73C5BC">
        <w:rPr>
          <w:lang w:val="en-US"/>
        </w:rPr>
        <w:t xml:space="preserve">and install </w:t>
      </w:r>
      <w:r w:rsidRPr="5D73C5BC">
        <w:rPr>
          <w:lang w:val="en-US"/>
        </w:rPr>
        <w:t>a fully functional detector</w:t>
      </w:r>
      <w:r w:rsidR="005609F1" w:rsidRPr="5D73C5BC">
        <w:rPr>
          <w:lang w:val="en-US"/>
        </w:rPr>
        <w:t xml:space="preserve"> </w:t>
      </w:r>
      <w:r w:rsidRPr="5D73C5BC">
        <w:rPr>
          <w:lang w:val="en-US"/>
        </w:rPr>
        <w:t xml:space="preserve">designed for macromolecular X-ray crystallography experiments to be conducted at a synchrotron beamline. The detector must be designed to capture X-ray diffraction patterns with exceptional speed and accuracy, providing critical data for determining the atomic structure of large biological </w:t>
      </w:r>
      <w:r w:rsidRPr="5D73C5BC">
        <w:rPr>
          <w:lang w:val="en-US"/>
        </w:rPr>
        <w:lastRenderedPageBreak/>
        <w:t xml:space="preserve">macromolecules like proteins and nucleic acids. The detector needs to have high active area, high framerate, high dynamic range and low background noise. The detector must be fully compatible with standard protein crystallography beamline infrastructure and must also be fully interoperable with the MXCuBE software, which will be used for experiment control and data acquisition.  </w:t>
      </w:r>
      <w:r w:rsidR="00F77C71" w:rsidRPr="5D73C5BC">
        <w:rPr>
          <w:lang w:val="en-GB"/>
        </w:rPr>
        <w:t xml:space="preserve">Detector will be installed on the beamline prior to installation of the X-ray optics system. </w:t>
      </w:r>
    </w:p>
    <w:p w14:paraId="360E5887" w14:textId="77777777" w:rsidR="002F7789" w:rsidRDefault="002F7789" w:rsidP="002F7789">
      <w:pPr>
        <w:ind w:left="360" w:firstLine="348"/>
        <w:rPr>
          <w:lang w:val="en-US"/>
        </w:rPr>
      </w:pPr>
      <w:r>
        <w:rPr>
          <w:lang w:val="en-US"/>
        </w:rPr>
        <w:t xml:space="preserve">The detailed technical specification is described in sections below. </w:t>
      </w:r>
    </w:p>
    <w:p w14:paraId="5F670AB5" w14:textId="77777777" w:rsidR="002F7789" w:rsidRDefault="002F7789" w:rsidP="002F7789">
      <w:pPr>
        <w:pStyle w:val="Nagwek2"/>
        <w:numPr>
          <w:ilvl w:val="1"/>
          <w:numId w:val="1"/>
        </w:numPr>
        <w:rPr>
          <w:lang w:val="en-US"/>
        </w:rPr>
      </w:pPr>
      <w:bookmarkStart w:id="3" w:name="_Toc199507584"/>
      <w:r>
        <w:rPr>
          <w:lang w:val="en-US"/>
        </w:rPr>
        <w:t>Detector technical specification</w:t>
      </w:r>
      <w:bookmarkEnd w:id="3"/>
      <w:r>
        <w:rPr>
          <w:lang w:val="en-US"/>
        </w:rPr>
        <w:t xml:space="preserve"> </w:t>
      </w:r>
    </w:p>
    <w:p w14:paraId="0F12AF87" w14:textId="77777777" w:rsidR="002F7789" w:rsidRPr="002D372D" w:rsidRDefault="002F7789" w:rsidP="002F7789">
      <w:pPr>
        <w:ind w:firstLine="360"/>
        <w:rPr>
          <w:lang w:val="en-GB"/>
        </w:rPr>
      </w:pPr>
      <w:r>
        <w:rPr>
          <w:lang w:val="en-US"/>
        </w:rPr>
        <w:t xml:space="preserve">Detector’s </w:t>
      </w:r>
      <w:r w:rsidRPr="002D372D">
        <w:rPr>
          <w:lang w:val="en-GB"/>
        </w:rPr>
        <w:t xml:space="preserve">high-speed and high-resolution capabilities </w:t>
      </w:r>
      <w:r>
        <w:rPr>
          <w:lang w:val="en-GB"/>
        </w:rPr>
        <w:t xml:space="preserve">should </w:t>
      </w:r>
      <w:r w:rsidRPr="002D372D">
        <w:rPr>
          <w:lang w:val="en-GB"/>
        </w:rPr>
        <w:t>allow for fast and precise data collection from macromolecular crystals at synchrotron beamline.</w:t>
      </w:r>
      <w:r>
        <w:rPr>
          <w:lang w:val="en-GB"/>
        </w:rPr>
        <w:t xml:space="preserve"> It should be compatible with different modes of data collection, such as standard collection, fine slicing, radiation damage studies and studies using Diamond Anvil Cells. The required technical specifications are: </w:t>
      </w:r>
    </w:p>
    <w:p w14:paraId="5AE4857D" w14:textId="77777777" w:rsidR="002F7789" w:rsidRPr="00DA6B21" w:rsidRDefault="002F7789" w:rsidP="002F7789">
      <w:pPr>
        <w:pStyle w:val="Akapitzlist"/>
        <w:numPr>
          <w:ilvl w:val="0"/>
          <w:numId w:val="2"/>
        </w:numPr>
        <w:rPr>
          <w:lang w:val="en-GB"/>
        </w:rPr>
      </w:pPr>
      <w:r w:rsidRPr="00DA6B21">
        <w:rPr>
          <w:lang w:val="en-GB"/>
        </w:rPr>
        <w:t>Detector technology</w:t>
      </w:r>
      <w:r>
        <w:rPr>
          <w:lang w:val="en-GB"/>
        </w:rPr>
        <w:t xml:space="preserve">: </w:t>
      </w:r>
      <w:r w:rsidRPr="00DA6B21">
        <w:rPr>
          <w:lang w:val="en-GB"/>
        </w:rPr>
        <w:t xml:space="preserve"> Hybrid Photon Counting (HPC)</w:t>
      </w:r>
    </w:p>
    <w:p w14:paraId="0BE1F623" w14:textId="77777777" w:rsidR="002F7789" w:rsidRPr="00DA6B21" w:rsidRDefault="002F7789" w:rsidP="002F7789">
      <w:pPr>
        <w:pStyle w:val="Akapitzlist"/>
        <w:numPr>
          <w:ilvl w:val="0"/>
          <w:numId w:val="2"/>
        </w:numPr>
        <w:rPr>
          <w:lang w:val="en-GB"/>
        </w:rPr>
      </w:pPr>
      <w:r w:rsidRPr="00DA6B21">
        <w:rPr>
          <w:lang w:val="en-GB"/>
        </w:rPr>
        <w:t>Number of modules (W x H)</w:t>
      </w:r>
      <w:r>
        <w:rPr>
          <w:lang w:val="en-GB"/>
        </w:rPr>
        <w:t>: not less than</w:t>
      </w:r>
      <w:r w:rsidRPr="00DA6B21">
        <w:rPr>
          <w:lang w:val="en-GB"/>
        </w:rPr>
        <w:t xml:space="preserve"> 3 x 6 = 18</w:t>
      </w:r>
    </w:p>
    <w:p w14:paraId="76AC5B80" w14:textId="77777777" w:rsidR="002F7789" w:rsidRPr="00DA6B21" w:rsidRDefault="002F7789" w:rsidP="002F7789">
      <w:pPr>
        <w:pStyle w:val="Akapitzlist"/>
        <w:numPr>
          <w:ilvl w:val="0"/>
          <w:numId w:val="2"/>
        </w:numPr>
        <w:rPr>
          <w:lang w:val="en-GB"/>
        </w:rPr>
      </w:pPr>
      <w:r w:rsidRPr="00DA6B21">
        <w:rPr>
          <w:lang w:val="en-GB"/>
        </w:rPr>
        <w:t>Sensor material</w:t>
      </w:r>
      <w:r>
        <w:rPr>
          <w:lang w:val="en-GB"/>
        </w:rPr>
        <w:t>:</w:t>
      </w:r>
      <w:r w:rsidRPr="00DA6B21">
        <w:rPr>
          <w:lang w:val="en-GB"/>
        </w:rPr>
        <w:t xml:space="preserve"> Silicon (Si)</w:t>
      </w:r>
    </w:p>
    <w:p w14:paraId="4D3F45F2" w14:textId="77777777" w:rsidR="002F7789" w:rsidRPr="00DA6B21" w:rsidRDefault="002F7789" w:rsidP="002F7789">
      <w:pPr>
        <w:pStyle w:val="Akapitzlist"/>
        <w:numPr>
          <w:ilvl w:val="0"/>
          <w:numId w:val="2"/>
        </w:numPr>
        <w:rPr>
          <w:lang w:val="en-GB"/>
        </w:rPr>
      </w:pPr>
      <w:r w:rsidRPr="00DA6B21">
        <w:rPr>
          <w:lang w:val="en-GB"/>
        </w:rPr>
        <w:t>Sensor thickness</w:t>
      </w:r>
      <w:r>
        <w:rPr>
          <w:lang w:val="en-GB"/>
        </w:rPr>
        <w:t>: not more than</w:t>
      </w:r>
      <w:r w:rsidRPr="00DA6B21">
        <w:rPr>
          <w:lang w:val="en-GB"/>
        </w:rPr>
        <w:t xml:space="preserve"> 450 µm</w:t>
      </w:r>
    </w:p>
    <w:p w14:paraId="0F6B25EA" w14:textId="77777777" w:rsidR="002F7789" w:rsidRDefault="002F7789" w:rsidP="002F7789">
      <w:pPr>
        <w:pStyle w:val="Akapitzlist"/>
        <w:numPr>
          <w:ilvl w:val="0"/>
          <w:numId w:val="2"/>
        </w:numPr>
        <w:rPr>
          <w:lang w:val="en-GB"/>
        </w:rPr>
      </w:pPr>
      <w:r w:rsidRPr="00DA6B21">
        <w:rPr>
          <w:lang w:val="en-GB"/>
        </w:rPr>
        <w:t>Pixel size (W x H)</w:t>
      </w:r>
      <w:r>
        <w:rPr>
          <w:lang w:val="en-GB"/>
        </w:rPr>
        <w:t>: not bigger than</w:t>
      </w:r>
      <w:r w:rsidRPr="00DA6B21">
        <w:rPr>
          <w:lang w:val="en-GB"/>
        </w:rPr>
        <w:t xml:space="preserve"> 75 µm x 75 µm = 5625 µm2</w:t>
      </w:r>
    </w:p>
    <w:p w14:paraId="1C9A430C" w14:textId="77777777" w:rsidR="002F7789" w:rsidRDefault="002F7789" w:rsidP="002F7789">
      <w:pPr>
        <w:pStyle w:val="Akapitzlist"/>
        <w:numPr>
          <w:ilvl w:val="0"/>
          <w:numId w:val="2"/>
        </w:numPr>
        <w:rPr>
          <w:lang w:val="en-GB"/>
        </w:rPr>
      </w:pPr>
      <w:r w:rsidRPr="00DA6B21">
        <w:rPr>
          <w:lang w:val="en-GB"/>
        </w:rPr>
        <w:t>Pixel array format (W x H)</w:t>
      </w:r>
      <w:r>
        <w:rPr>
          <w:lang w:val="en-GB"/>
        </w:rPr>
        <w:t>: not less than</w:t>
      </w:r>
      <w:r w:rsidRPr="00DA6B21">
        <w:rPr>
          <w:lang w:val="en-GB"/>
        </w:rPr>
        <w:t xml:space="preserve"> 3108 pixel x 3262 pixel = 10 138 296 pixel</w:t>
      </w:r>
    </w:p>
    <w:p w14:paraId="650AF04F" w14:textId="77777777" w:rsidR="002F7789" w:rsidRDefault="002F7789" w:rsidP="002F7789">
      <w:pPr>
        <w:pStyle w:val="Akapitzlist"/>
        <w:numPr>
          <w:ilvl w:val="0"/>
          <w:numId w:val="2"/>
        </w:numPr>
        <w:rPr>
          <w:lang w:val="en-GB"/>
        </w:rPr>
      </w:pPr>
      <w:r w:rsidRPr="00DA6B21">
        <w:rPr>
          <w:lang w:val="en-GB"/>
        </w:rPr>
        <w:t>Active area (W x H)</w:t>
      </w:r>
      <w:r>
        <w:rPr>
          <w:lang w:val="en-GB"/>
        </w:rPr>
        <w:t>: not less than</w:t>
      </w:r>
      <w:r w:rsidRPr="00DA6B21">
        <w:rPr>
          <w:lang w:val="en-GB"/>
        </w:rPr>
        <w:t xml:space="preserve"> 233.1 mm x 244.65 mm = 57 027.915 mm2</w:t>
      </w:r>
    </w:p>
    <w:p w14:paraId="6FB1F571" w14:textId="77777777" w:rsidR="002F7789" w:rsidRDefault="002F7789" w:rsidP="002F7789">
      <w:pPr>
        <w:pStyle w:val="Akapitzlist"/>
        <w:numPr>
          <w:ilvl w:val="0"/>
          <w:numId w:val="2"/>
        </w:numPr>
        <w:rPr>
          <w:lang w:val="en-GB"/>
        </w:rPr>
      </w:pPr>
      <w:r w:rsidRPr="00DA6B21">
        <w:rPr>
          <w:lang w:val="en-GB"/>
        </w:rPr>
        <w:t>Inter-module gap: not more than hor. 12 pixels, vert. 38 pixels</w:t>
      </w:r>
    </w:p>
    <w:p w14:paraId="1921DBBA" w14:textId="77777777" w:rsidR="002F7789" w:rsidRDefault="002F7789" w:rsidP="002F7789">
      <w:pPr>
        <w:pStyle w:val="Akapitzlist"/>
        <w:numPr>
          <w:ilvl w:val="0"/>
          <w:numId w:val="2"/>
        </w:numPr>
        <w:rPr>
          <w:lang w:val="en-GB"/>
        </w:rPr>
      </w:pPr>
      <w:r w:rsidRPr="00DA6B21">
        <w:rPr>
          <w:lang w:val="en-GB"/>
        </w:rPr>
        <w:t>Defective pixels</w:t>
      </w:r>
      <w:r>
        <w:rPr>
          <w:lang w:val="en-GB"/>
        </w:rPr>
        <w:t>:</w:t>
      </w:r>
      <w:r w:rsidRPr="00DA6B21">
        <w:rPr>
          <w:lang w:val="en-GB"/>
        </w:rPr>
        <w:t xml:space="preserve"> </w:t>
      </w:r>
      <w:r>
        <w:rPr>
          <w:lang w:val="en-GB"/>
        </w:rPr>
        <w:t>less than</w:t>
      </w:r>
      <w:r w:rsidRPr="00DA6B21">
        <w:rPr>
          <w:lang w:val="en-GB"/>
        </w:rPr>
        <w:t xml:space="preserve"> 0.05%</w:t>
      </w:r>
    </w:p>
    <w:p w14:paraId="42F722CC" w14:textId="77777777" w:rsidR="002F7789" w:rsidRDefault="002F7789" w:rsidP="002F7789">
      <w:pPr>
        <w:pStyle w:val="Akapitzlist"/>
        <w:numPr>
          <w:ilvl w:val="0"/>
          <w:numId w:val="2"/>
        </w:numPr>
        <w:rPr>
          <w:lang w:val="en-GB"/>
        </w:rPr>
      </w:pPr>
      <w:r w:rsidRPr="00DA6B21">
        <w:rPr>
          <w:lang w:val="en-GB"/>
        </w:rPr>
        <w:t>Image bit depth</w:t>
      </w:r>
      <w:r>
        <w:rPr>
          <w:lang w:val="en-GB"/>
        </w:rPr>
        <w:t>:</w:t>
      </w:r>
      <w:r w:rsidRPr="00DA6B21">
        <w:rPr>
          <w:lang w:val="en-GB"/>
        </w:rPr>
        <w:t xml:space="preserve"> 32 ,16 or 8 bit</w:t>
      </w:r>
    </w:p>
    <w:p w14:paraId="1DFEB6BE" w14:textId="77777777" w:rsidR="002F7789" w:rsidRDefault="002F7789" w:rsidP="002F7789">
      <w:pPr>
        <w:pStyle w:val="Akapitzlist"/>
        <w:numPr>
          <w:ilvl w:val="0"/>
          <w:numId w:val="2"/>
        </w:numPr>
        <w:rPr>
          <w:lang w:val="en-GB"/>
        </w:rPr>
      </w:pPr>
      <w:r w:rsidRPr="00DA6B21">
        <w:rPr>
          <w:lang w:val="en-GB"/>
        </w:rPr>
        <w:t>Readout bit depth 16 or 8 bit</w:t>
      </w:r>
    </w:p>
    <w:p w14:paraId="4FB54734" w14:textId="77777777" w:rsidR="002F7789" w:rsidRDefault="002F7789" w:rsidP="002F7789">
      <w:pPr>
        <w:pStyle w:val="Akapitzlist"/>
        <w:numPr>
          <w:ilvl w:val="0"/>
          <w:numId w:val="2"/>
        </w:numPr>
        <w:rPr>
          <w:lang w:val="en-GB"/>
        </w:rPr>
      </w:pPr>
      <w:r w:rsidRPr="5E244DBC">
        <w:rPr>
          <w:lang w:val="en-GB"/>
        </w:rPr>
        <w:t>Maximum count rate: not less than 1.7 × 10</w:t>
      </w:r>
      <w:r w:rsidRPr="5E244DBC">
        <w:rPr>
          <w:vertAlign w:val="superscript"/>
          <w:lang w:val="en-GB"/>
        </w:rPr>
        <w:t>9</w:t>
      </w:r>
      <w:r w:rsidRPr="5E244DBC">
        <w:rPr>
          <w:lang w:val="en-GB"/>
        </w:rPr>
        <w:t xml:space="preserve"> photons/s/mm2</w:t>
      </w:r>
    </w:p>
    <w:p w14:paraId="787967DC" w14:textId="77777777" w:rsidR="002F7789" w:rsidRDefault="002F7789" w:rsidP="002F7789">
      <w:pPr>
        <w:pStyle w:val="Akapitzlist"/>
        <w:numPr>
          <w:ilvl w:val="0"/>
          <w:numId w:val="2"/>
        </w:numPr>
        <w:rPr>
          <w:lang w:val="en-GB"/>
        </w:rPr>
      </w:pPr>
      <w:r w:rsidRPr="00DA6B21">
        <w:rPr>
          <w:lang w:val="en-GB"/>
        </w:rPr>
        <w:t>Adjustable threshold range</w:t>
      </w:r>
      <w:r>
        <w:rPr>
          <w:lang w:val="en-GB"/>
        </w:rPr>
        <w:t>: not worse than</w:t>
      </w:r>
      <w:r w:rsidRPr="00DA6B21">
        <w:rPr>
          <w:lang w:val="en-GB"/>
        </w:rPr>
        <w:t xml:space="preserve"> </w:t>
      </w:r>
      <w:r>
        <w:rPr>
          <w:lang w:val="en-GB"/>
        </w:rPr>
        <w:t>3.5</w:t>
      </w:r>
      <w:r w:rsidRPr="00DA6B21">
        <w:rPr>
          <w:lang w:val="en-GB"/>
        </w:rPr>
        <w:t xml:space="preserve"> keV to </w:t>
      </w:r>
      <w:r>
        <w:rPr>
          <w:lang w:val="en-GB"/>
        </w:rPr>
        <w:t>30</w:t>
      </w:r>
      <w:r w:rsidRPr="00DA6B21">
        <w:rPr>
          <w:lang w:val="en-GB"/>
        </w:rPr>
        <w:t xml:space="preserve"> keV</w:t>
      </w:r>
    </w:p>
    <w:p w14:paraId="6492582F" w14:textId="77777777" w:rsidR="002F7789" w:rsidRDefault="002F7789" w:rsidP="002F7789">
      <w:pPr>
        <w:pStyle w:val="Akapitzlist"/>
        <w:numPr>
          <w:ilvl w:val="0"/>
          <w:numId w:val="2"/>
        </w:numPr>
        <w:rPr>
          <w:lang w:val="en-GB"/>
        </w:rPr>
      </w:pPr>
      <w:r w:rsidRPr="00DA6B21">
        <w:rPr>
          <w:lang w:val="en-GB"/>
        </w:rPr>
        <w:t>Energy range</w:t>
      </w:r>
      <w:r>
        <w:rPr>
          <w:lang w:val="en-GB"/>
        </w:rPr>
        <w:t>: not worse than</w:t>
      </w:r>
      <w:r w:rsidRPr="00DA6B21">
        <w:rPr>
          <w:lang w:val="en-GB"/>
        </w:rPr>
        <w:t xml:space="preserve"> 6 keV to </w:t>
      </w:r>
      <w:r>
        <w:rPr>
          <w:lang w:val="en-GB"/>
        </w:rPr>
        <w:t>22</w:t>
      </w:r>
      <w:r w:rsidRPr="00DA6B21">
        <w:rPr>
          <w:lang w:val="en-GB"/>
        </w:rPr>
        <w:t xml:space="preserve"> keV</w:t>
      </w:r>
    </w:p>
    <w:p w14:paraId="5D4DE740" w14:textId="77777777" w:rsidR="002F7789" w:rsidRDefault="002F7789" w:rsidP="002F7789">
      <w:pPr>
        <w:pStyle w:val="Akapitzlist"/>
        <w:numPr>
          <w:ilvl w:val="0"/>
          <w:numId w:val="2"/>
        </w:numPr>
        <w:rPr>
          <w:lang w:val="en-GB"/>
        </w:rPr>
      </w:pPr>
      <w:r w:rsidRPr="00DA6B21">
        <w:rPr>
          <w:lang w:val="en-GB"/>
        </w:rPr>
        <w:t>Number of thresholds</w:t>
      </w:r>
      <w:r>
        <w:rPr>
          <w:lang w:val="en-GB"/>
        </w:rPr>
        <w:t>: at least</w:t>
      </w:r>
      <w:r w:rsidRPr="00DA6B21">
        <w:rPr>
          <w:lang w:val="en-GB"/>
        </w:rPr>
        <w:t xml:space="preserve"> two independent thresholds</w:t>
      </w:r>
    </w:p>
    <w:p w14:paraId="10AD7CD6" w14:textId="77777777" w:rsidR="002F7789" w:rsidRDefault="002F7789" w:rsidP="002F7789">
      <w:pPr>
        <w:pStyle w:val="Akapitzlist"/>
        <w:numPr>
          <w:ilvl w:val="0"/>
          <w:numId w:val="2"/>
        </w:numPr>
        <w:rPr>
          <w:lang w:val="en-GB"/>
        </w:rPr>
      </w:pPr>
      <w:r w:rsidRPr="00DA6B21">
        <w:rPr>
          <w:lang w:val="en-GB"/>
        </w:rPr>
        <w:t>Readout time</w:t>
      </w:r>
      <w:r>
        <w:rPr>
          <w:lang w:val="en-GB"/>
        </w:rPr>
        <w:t xml:space="preserve">: </w:t>
      </w:r>
      <w:r w:rsidRPr="00DA6B21">
        <w:rPr>
          <w:lang w:val="en-GB"/>
        </w:rPr>
        <w:t xml:space="preserve"> continuous readout with </w:t>
      </w:r>
      <w:r>
        <w:rPr>
          <w:lang w:val="en-GB"/>
        </w:rPr>
        <w:t xml:space="preserve">not more than </w:t>
      </w:r>
      <w:r w:rsidRPr="00DA6B21">
        <w:rPr>
          <w:lang w:val="en-GB"/>
        </w:rPr>
        <w:t>100 ns dead time</w:t>
      </w:r>
    </w:p>
    <w:p w14:paraId="6A9AD782" w14:textId="77777777" w:rsidR="002F7789" w:rsidRDefault="002F7789" w:rsidP="002F7789">
      <w:pPr>
        <w:pStyle w:val="Akapitzlist"/>
        <w:numPr>
          <w:ilvl w:val="0"/>
          <w:numId w:val="2"/>
        </w:numPr>
        <w:rPr>
          <w:lang w:val="en-GB"/>
        </w:rPr>
      </w:pPr>
      <w:r w:rsidRPr="00DA6B21">
        <w:rPr>
          <w:lang w:val="en-GB"/>
        </w:rPr>
        <w:t>Maximum frame rate (continuous)</w:t>
      </w:r>
      <w:r>
        <w:rPr>
          <w:lang w:val="en-GB"/>
        </w:rPr>
        <w:t xml:space="preserve">: not worse than </w:t>
      </w:r>
      <w:r w:rsidRPr="00DA6B21">
        <w:rPr>
          <w:lang w:val="en-GB"/>
        </w:rPr>
        <w:t>490 Hz (8 bit), 245 Hz (16 bit)</w:t>
      </w:r>
    </w:p>
    <w:p w14:paraId="514A9827" w14:textId="77777777" w:rsidR="002F7789" w:rsidRDefault="002F7789" w:rsidP="002F7789">
      <w:pPr>
        <w:pStyle w:val="Akapitzlist"/>
        <w:numPr>
          <w:ilvl w:val="0"/>
          <w:numId w:val="2"/>
        </w:numPr>
        <w:rPr>
          <w:lang w:val="en-GB"/>
        </w:rPr>
      </w:pPr>
      <w:r w:rsidRPr="00DA6B21">
        <w:rPr>
          <w:lang w:val="en-GB"/>
        </w:rPr>
        <w:lastRenderedPageBreak/>
        <w:t>ROI maximum frame rate (continuous)</w:t>
      </w:r>
      <w:r>
        <w:rPr>
          <w:lang w:val="en-GB"/>
        </w:rPr>
        <w:t xml:space="preserve">: not worse than </w:t>
      </w:r>
      <w:r w:rsidRPr="00DA6B21">
        <w:rPr>
          <w:lang w:val="en-GB"/>
        </w:rPr>
        <w:t xml:space="preserve"> 1120 Hz (8 bit), 560 Hz (16 bit)</w:t>
      </w:r>
    </w:p>
    <w:p w14:paraId="04D962BB" w14:textId="73BBAAAB" w:rsidR="002F7789" w:rsidRPr="00F77C71" w:rsidRDefault="002F7789" w:rsidP="00F77C71">
      <w:pPr>
        <w:pStyle w:val="Akapitzlist"/>
        <w:numPr>
          <w:ilvl w:val="0"/>
          <w:numId w:val="2"/>
        </w:numPr>
        <w:rPr>
          <w:lang w:val="en-GB"/>
        </w:rPr>
      </w:pPr>
      <w:r w:rsidRPr="005B02A5">
        <w:rPr>
          <w:lang w:val="en-GB"/>
        </w:rPr>
        <w:t>Point-spread function</w:t>
      </w:r>
      <w:r>
        <w:rPr>
          <w:lang w:val="en-GB"/>
        </w:rPr>
        <w:t>:</w:t>
      </w:r>
      <w:r w:rsidRPr="005B02A5">
        <w:rPr>
          <w:lang w:val="en-GB"/>
        </w:rPr>
        <w:t xml:space="preserve"> 1 pixel (FWHM)</w:t>
      </w:r>
    </w:p>
    <w:p w14:paraId="22AD506A" w14:textId="77777777" w:rsidR="002F7789" w:rsidRDefault="002F7789" w:rsidP="002F7789">
      <w:pPr>
        <w:pStyle w:val="Nagwek2"/>
        <w:numPr>
          <w:ilvl w:val="1"/>
          <w:numId w:val="1"/>
        </w:numPr>
        <w:rPr>
          <w:lang w:val="en-GB"/>
        </w:rPr>
      </w:pPr>
      <w:bookmarkStart w:id="4" w:name="_Toc199507585"/>
      <w:r>
        <w:rPr>
          <w:lang w:val="en-GB"/>
        </w:rPr>
        <w:t>Control unit</w:t>
      </w:r>
      <w:bookmarkEnd w:id="4"/>
      <w:r>
        <w:rPr>
          <w:lang w:val="en-GB"/>
        </w:rPr>
        <w:t xml:space="preserve"> </w:t>
      </w:r>
    </w:p>
    <w:p w14:paraId="13D603B1" w14:textId="4ABDD5AE" w:rsidR="002F7789" w:rsidRPr="002D372D" w:rsidRDefault="002F7789" w:rsidP="00F77C71">
      <w:pPr>
        <w:ind w:firstLine="360"/>
        <w:rPr>
          <w:lang w:val="en-GB"/>
        </w:rPr>
      </w:pPr>
      <w:r w:rsidRPr="5D73C5BC">
        <w:rPr>
          <w:lang w:val="en-GB"/>
        </w:rPr>
        <w:t xml:space="preserve">The detector </w:t>
      </w:r>
      <w:r w:rsidR="00F91E8E">
        <w:rPr>
          <w:lang w:val="en-GB"/>
        </w:rPr>
        <w:t>must</w:t>
      </w:r>
      <w:r w:rsidRPr="5D73C5BC">
        <w:rPr>
          <w:lang w:val="en-GB"/>
        </w:rPr>
        <w:t xml:space="preserve"> be equipped with the control unit that serves as the interface between the detector and the rest of the experimental setup, controlling and managing all aspects of the detector’s operation. The details of the control unit are left to the contractor. </w:t>
      </w:r>
      <w:r w:rsidR="1464653F" w:rsidRPr="5D73C5BC">
        <w:rPr>
          <w:lang w:val="en-GB"/>
        </w:rPr>
        <w:t>Parameters</w:t>
      </w:r>
      <w:r w:rsidRPr="5D73C5BC">
        <w:rPr>
          <w:lang w:val="en-GB"/>
        </w:rPr>
        <w:t xml:space="preserve"> of the control unit </w:t>
      </w:r>
      <w:r w:rsidR="00F91E8E">
        <w:rPr>
          <w:lang w:val="en-GB"/>
        </w:rPr>
        <w:t>have to</w:t>
      </w:r>
      <w:r w:rsidRPr="5D73C5BC">
        <w:rPr>
          <w:lang w:val="en-GB"/>
        </w:rPr>
        <w:t xml:space="preserve"> be included in the offer. </w:t>
      </w:r>
    </w:p>
    <w:p w14:paraId="14585C9E" w14:textId="77777777" w:rsidR="002F7789" w:rsidRDefault="002F7789" w:rsidP="002F7789">
      <w:pPr>
        <w:pStyle w:val="Nagwek2"/>
        <w:numPr>
          <w:ilvl w:val="1"/>
          <w:numId w:val="1"/>
        </w:numPr>
        <w:rPr>
          <w:lang w:val="en-GB"/>
        </w:rPr>
      </w:pPr>
      <w:bookmarkStart w:id="5" w:name="_Toc199507586"/>
      <w:r>
        <w:rPr>
          <w:lang w:val="en-GB"/>
        </w:rPr>
        <w:t>Thermal stabilization unit</w:t>
      </w:r>
      <w:bookmarkEnd w:id="5"/>
    </w:p>
    <w:p w14:paraId="1CE5DF89" w14:textId="229859F5" w:rsidR="002F7789" w:rsidRDefault="002F7789" w:rsidP="002F7789">
      <w:pPr>
        <w:ind w:firstLine="360"/>
        <w:rPr>
          <w:lang w:val="en-GB"/>
        </w:rPr>
      </w:pPr>
      <w:r w:rsidRPr="5D73C5BC">
        <w:rPr>
          <w:lang w:val="en-GB"/>
        </w:rPr>
        <w:t xml:space="preserve">The detector </w:t>
      </w:r>
      <w:r w:rsidR="00FE108C">
        <w:rPr>
          <w:lang w:val="en-GB"/>
        </w:rPr>
        <w:t>must</w:t>
      </w:r>
      <w:r w:rsidR="00FE108C" w:rsidRPr="5D73C5BC">
        <w:rPr>
          <w:lang w:val="en-GB"/>
        </w:rPr>
        <w:t xml:space="preserve"> </w:t>
      </w:r>
      <w:r w:rsidRPr="5D73C5BC">
        <w:rPr>
          <w:lang w:val="en-GB"/>
        </w:rPr>
        <w:t xml:space="preserve">be equipped with the thermal stabilization unit. The details of the chiller are left to the Contractor. </w:t>
      </w:r>
      <w:r w:rsidR="6ACCD81B" w:rsidRPr="5D73C5BC">
        <w:rPr>
          <w:lang w:val="en-GB"/>
        </w:rPr>
        <w:t>Parameters</w:t>
      </w:r>
      <w:r w:rsidRPr="5D73C5BC">
        <w:rPr>
          <w:lang w:val="en-GB"/>
        </w:rPr>
        <w:t xml:space="preserve"> of the chiller </w:t>
      </w:r>
      <w:r w:rsidR="00FE108C">
        <w:rPr>
          <w:lang w:val="en-GB"/>
        </w:rPr>
        <w:t>must</w:t>
      </w:r>
      <w:r w:rsidR="00FE108C" w:rsidRPr="5D73C5BC">
        <w:rPr>
          <w:lang w:val="en-GB"/>
        </w:rPr>
        <w:t xml:space="preserve"> </w:t>
      </w:r>
      <w:r w:rsidRPr="5D73C5BC">
        <w:rPr>
          <w:lang w:val="en-GB"/>
        </w:rPr>
        <w:t xml:space="preserve">be included in the offer. </w:t>
      </w:r>
    </w:p>
    <w:p w14:paraId="39BD3ED8" w14:textId="537A1333" w:rsidR="002F7789" w:rsidRDefault="002F7789" w:rsidP="00061743">
      <w:pPr>
        <w:pStyle w:val="Nagwek1"/>
        <w:numPr>
          <w:ilvl w:val="0"/>
          <w:numId w:val="1"/>
        </w:numPr>
      </w:pPr>
      <w:bookmarkStart w:id="6" w:name="_Toc199507587"/>
      <w:r>
        <w:t>Additional information</w:t>
      </w:r>
      <w:bookmarkEnd w:id="6"/>
    </w:p>
    <w:p w14:paraId="65791F6E" w14:textId="5EEA8348" w:rsidR="00683A08" w:rsidRDefault="00FE108C" w:rsidP="00366595">
      <w:pPr>
        <w:rPr>
          <w:lang w:val="en-GB"/>
        </w:rPr>
      </w:pPr>
      <w:r>
        <w:rPr>
          <w:lang w:val="en-GB"/>
        </w:rPr>
        <w:t>The offer must include</w:t>
      </w:r>
      <w:r w:rsidR="002F7789" w:rsidRPr="5E244DBC">
        <w:rPr>
          <w:lang w:val="en-GB"/>
        </w:rPr>
        <w:t xml:space="preserve"> a concept of the detector, chiller and control unit. </w:t>
      </w:r>
      <w:r w:rsidR="00366595" w:rsidRPr="5E244DBC">
        <w:rPr>
          <w:lang w:val="en-GB"/>
        </w:rPr>
        <w:t xml:space="preserve">Delivery of the Subject of the Order specified for part 1 will take place in accordance with the attached contract template. For the on-site installation and testing, it is expected the presence of at least one specialized </w:t>
      </w:r>
      <w:r>
        <w:rPr>
          <w:lang w:val="en-GB"/>
        </w:rPr>
        <w:t>person</w:t>
      </w:r>
      <w:r w:rsidRPr="5E244DBC">
        <w:rPr>
          <w:lang w:val="en-GB"/>
        </w:rPr>
        <w:t xml:space="preserve"> </w:t>
      </w:r>
      <w:r w:rsidR="00366595" w:rsidRPr="5E244DBC">
        <w:rPr>
          <w:lang w:val="en-GB"/>
        </w:rPr>
        <w:t>for minimum 1 working day.</w:t>
      </w:r>
      <w:r w:rsidR="7EF2C3A3" w:rsidRPr="5E244DBC">
        <w:rPr>
          <w:lang w:val="en-GB"/>
        </w:rPr>
        <w:t xml:space="preserve"> The d</w:t>
      </w:r>
      <w:r w:rsidR="7D17EB23" w:rsidRPr="5E244DBC">
        <w:rPr>
          <w:lang w:val="en-GB"/>
        </w:rPr>
        <w:t>etector</w:t>
      </w:r>
      <w:r w:rsidR="7EF2C3A3" w:rsidRPr="5E244DBC">
        <w:rPr>
          <w:lang w:val="en-GB"/>
        </w:rPr>
        <w:t xml:space="preserve"> will be installed on a dedicated </w:t>
      </w:r>
      <w:r w:rsidR="17CF283E" w:rsidRPr="5E244DBC">
        <w:rPr>
          <w:lang w:val="en-GB"/>
        </w:rPr>
        <w:t>detector</w:t>
      </w:r>
      <w:r w:rsidR="7EF2C3A3" w:rsidRPr="5E244DBC">
        <w:rPr>
          <w:lang w:val="en-GB"/>
        </w:rPr>
        <w:t xml:space="preserve"> support table, which is the subject of another tender. Details regarding the table will be provided to the Contractor after the tender for the experimental tables is resolved.</w:t>
      </w:r>
      <w:r w:rsidR="00366595" w:rsidRPr="5E244DBC">
        <w:rPr>
          <w:lang w:val="en-GB"/>
        </w:rPr>
        <w:t xml:space="preserve"> </w:t>
      </w:r>
      <w:r w:rsidR="002F7789" w:rsidRPr="5E244DBC">
        <w:rPr>
          <w:lang w:val="en-GB"/>
        </w:rPr>
        <w:br w:type="page"/>
      </w:r>
    </w:p>
    <w:p w14:paraId="6CFA4AD5" w14:textId="32773628" w:rsidR="00683A08" w:rsidRPr="00061743" w:rsidRDefault="00683A08" w:rsidP="00061743">
      <w:pPr>
        <w:pStyle w:val="Nagwek1"/>
      </w:pPr>
      <w:bookmarkStart w:id="7" w:name="_Toc199507588"/>
      <w:r w:rsidRPr="00061743">
        <w:rPr>
          <w:b/>
          <w:bCs/>
        </w:rPr>
        <w:lastRenderedPageBreak/>
        <w:t>Part 2</w:t>
      </w:r>
      <w:r w:rsidRPr="00061743">
        <w:t>:</w:t>
      </w:r>
      <w:bookmarkEnd w:id="7"/>
      <w:r w:rsidRPr="00061743">
        <w:t xml:space="preserve"> </w:t>
      </w:r>
    </w:p>
    <w:p w14:paraId="226C0B49" w14:textId="507EA8A2" w:rsidR="00683A08" w:rsidRPr="00683A08" w:rsidRDefault="00683A08" w:rsidP="00061743">
      <w:pPr>
        <w:pStyle w:val="Nagwek1"/>
        <w:numPr>
          <w:ilvl w:val="0"/>
          <w:numId w:val="15"/>
        </w:numPr>
      </w:pPr>
      <w:bookmarkStart w:id="8" w:name="_Toc194580266"/>
      <w:bookmarkStart w:id="9" w:name="_Toc199507589"/>
      <w:r w:rsidRPr="00683A08">
        <w:t>General information</w:t>
      </w:r>
      <w:bookmarkEnd w:id="8"/>
      <w:bookmarkEnd w:id="9"/>
      <w:r w:rsidRPr="00683A08">
        <w:t xml:space="preserve"> </w:t>
      </w:r>
    </w:p>
    <w:p w14:paraId="25F9A386" w14:textId="65BB4855" w:rsidR="00683A08" w:rsidRPr="00770FBF" w:rsidRDefault="00683A08" w:rsidP="00683A08">
      <w:pPr>
        <w:ind w:firstLine="360"/>
        <w:rPr>
          <w:lang w:val="en-US"/>
        </w:rPr>
      </w:pPr>
      <w:r w:rsidRPr="00770FBF">
        <w:rPr>
          <w:lang w:val="en-US"/>
        </w:rPr>
        <w:t xml:space="preserve">The object matter of the </w:t>
      </w:r>
      <w:r w:rsidR="00FE108C">
        <w:rPr>
          <w:lang w:val="en-US"/>
        </w:rPr>
        <w:t>order</w:t>
      </w:r>
      <w:r w:rsidR="00FE108C" w:rsidRPr="00770FBF">
        <w:rPr>
          <w:lang w:val="en-US"/>
        </w:rPr>
        <w:t xml:space="preserve"> </w:t>
      </w:r>
      <w:r w:rsidRPr="00770FBF">
        <w:rPr>
          <w:lang w:val="en-US"/>
        </w:rPr>
        <w:t xml:space="preserve">is the design, manufacturing, delivery </w:t>
      </w:r>
      <w:r w:rsidR="002D6F3C">
        <w:rPr>
          <w:lang w:val="en-US"/>
        </w:rPr>
        <w:t xml:space="preserve">and installation </w:t>
      </w:r>
      <w:r w:rsidRPr="00770FBF">
        <w:rPr>
          <w:lang w:val="en-US"/>
        </w:rPr>
        <w:t xml:space="preserve">of a high- precision diffractometer for macromolecular X-ray crystallography. The device will be installed in a SOLCRYS (ARYA) beamline at SOLARIS National Synchrotron Radiation Centre in Krakow, Poland. </w:t>
      </w:r>
    </w:p>
    <w:p w14:paraId="75030166" w14:textId="11293D90" w:rsidR="00683A08" w:rsidRPr="00770FBF" w:rsidRDefault="00683A08" w:rsidP="00683A08">
      <w:pPr>
        <w:ind w:firstLine="360"/>
        <w:rPr>
          <w:lang w:val="en-US"/>
        </w:rPr>
      </w:pPr>
      <w:r w:rsidRPr="5D73C5BC">
        <w:rPr>
          <w:lang w:val="en-US"/>
        </w:rPr>
        <w:t xml:space="preserve">The SOLCRYS beamline is designed for macromolecular crystallography (MX) using synchrotron radiation in the energy range from 4 to 22 keV. The expected research capabilities of the MX end station include tunable radiation wavelength for multi-wavelength anomalous diffraction (MAD) experiments and high-flux mode for standard (routine) diffraction data collection on protein crystals. Expected technical parameters of the beamline are presented in Table 1. </w:t>
      </w:r>
    </w:p>
    <w:p w14:paraId="0F59AF54" w14:textId="77777777" w:rsidR="00683A08" w:rsidRPr="00115775" w:rsidRDefault="00683A08" w:rsidP="00683A08">
      <w:pPr>
        <w:pStyle w:val="Podpistabela"/>
        <w:rPr>
          <w:lang w:val="en-US"/>
        </w:rPr>
      </w:pPr>
      <w:r w:rsidRPr="00115775">
        <w:rPr>
          <w:lang w:val="en-US"/>
        </w:rPr>
        <w:t xml:space="preserve">Table </w:t>
      </w:r>
      <w:r w:rsidRPr="00115775">
        <w:rPr>
          <w:lang w:val="en-US"/>
        </w:rPr>
        <w:fldChar w:fldCharType="begin"/>
      </w:r>
      <w:r w:rsidRPr="00115775">
        <w:rPr>
          <w:lang w:val="en-US"/>
        </w:rPr>
        <w:instrText xml:space="preserve"> SEQ Table \* ARABIC </w:instrText>
      </w:r>
      <w:r w:rsidRPr="00115775">
        <w:rPr>
          <w:lang w:val="en-US"/>
        </w:rPr>
        <w:fldChar w:fldCharType="separate"/>
      </w:r>
      <w:r w:rsidRPr="00115775">
        <w:rPr>
          <w:noProof/>
          <w:lang w:val="en-US"/>
        </w:rPr>
        <w:t>1</w:t>
      </w:r>
      <w:r w:rsidRPr="00115775">
        <w:rPr>
          <w:lang w:val="en-US"/>
        </w:rPr>
        <w:fldChar w:fldCharType="end"/>
      </w:r>
      <w:r w:rsidRPr="00115775">
        <w:rPr>
          <w:lang w:val="en-US"/>
        </w:rPr>
        <w:t xml:space="preserve">. Expected technical parameters of the SOLCRYS beamline. </w:t>
      </w:r>
    </w:p>
    <w:tbl>
      <w:tblPr>
        <w:tblStyle w:val="Tabela-Siatka"/>
        <w:tblW w:w="0" w:type="auto"/>
        <w:jc w:val="center"/>
        <w:tblLook w:val="04A0" w:firstRow="1" w:lastRow="0" w:firstColumn="1" w:lastColumn="0" w:noHBand="0" w:noVBand="1"/>
      </w:tblPr>
      <w:tblGrid>
        <w:gridCol w:w="2972"/>
        <w:gridCol w:w="2126"/>
      </w:tblGrid>
      <w:tr w:rsidR="00683A08" w:rsidRPr="00770FBF" w14:paraId="5C48F393" w14:textId="77777777" w:rsidTr="007C5CC7">
        <w:trPr>
          <w:trHeight w:val="300"/>
          <w:jc w:val="center"/>
        </w:trPr>
        <w:tc>
          <w:tcPr>
            <w:tcW w:w="2972" w:type="dxa"/>
            <w:vAlign w:val="center"/>
          </w:tcPr>
          <w:p w14:paraId="7EA7D3FF" w14:textId="77777777" w:rsidR="00683A08" w:rsidRPr="00770FBF" w:rsidRDefault="00683A08" w:rsidP="007C5CC7">
            <w:pPr>
              <w:jc w:val="left"/>
              <w:rPr>
                <w:rFonts w:cs="Times New Roman"/>
                <w:lang w:val="en-US"/>
              </w:rPr>
            </w:pPr>
            <w:r w:rsidRPr="00770FBF">
              <w:rPr>
                <w:rFonts w:cs="Times New Roman"/>
                <w:lang w:val="en-US"/>
              </w:rPr>
              <w:t>Energy range</w:t>
            </w:r>
          </w:p>
        </w:tc>
        <w:tc>
          <w:tcPr>
            <w:tcW w:w="2126" w:type="dxa"/>
            <w:vAlign w:val="center"/>
          </w:tcPr>
          <w:p w14:paraId="077CDD78" w14:textId="77777777" w:rsidR="00683A08" w:rsidRPr="00770FBF" w:rsidRDefault="00683A08" w:rsidP="007C5CC7">
            <w:pPr>
              <w:jc w:val="left"/>
              <w:rPr>
                <w:rFonts w:cs="Times New Roman"/>
                <w:lang w:val="en-US"/>
              </w:rPr>
            </w:pPr>
            <w:r w:rsidRPr="00770FBF">
              <w:rPr>
                <w:rFonts w:cs="Times New Roman"/>
                <w:lang w:val="en-US"/>
              </w:rPr>
              <w:t>4-22 keV</w:t>
            </w:r>
          </w:p>
        </w:tc>
      </w:tr>
      <w:tr w:rsidR="00683A08" w:rsidRPr="00770FBF" w14:paraId="2E5B57DD" w14:textId="77777777" w:rsidTr="007C5CC7">
        <w:trPr>
          <w:trHeight w:val="300"/>
          <w:jc w:val="center"/>
        </w:trPr>
        <w:tc>
          <w:tcPr>
            <w:tcW w:w="2972" w:type="dxa"/>
            <w:vAlign w:val="center"/>
          </w:tcPr>
          <w:p w14:paraId="75B523F8" w14:textId="77777777" w:rsidR="00683A08" w:rsidRPr="00770FBF" w:rsidRDefault="00683A08" w:rsidP="007C5CC7">
            <w:pPr>
              <w:jc w:val="left"/>
              <w:rPr>
                <w:rFonts w:cs="Times New Roman"/>
                <w:lang w:val="en-US"/>
              </w:rPr>
            </w:pPr>
            <w:r w:rsidRPr="00770FBF">
              <w:rPr>
                <w:rFonts w:cs="Times New Roman"/>
                <w:lang w:val="en-US"/>
              </w:rPr>
              <w:t>Beam size at a sample</w:t>
            </w:r>
          </w:p>
        </w:tc>
        <w:tc>
          <w:tcPr>
            <w:tcW w:w="2126" w:type="dxa"/>
            <w:vAlign w:val="center"/>
          </w:tcPr>
          <w:p w14:paraId="4131CB91" w14:textId="77777777" w:rsidR="00683A08" w:rsidRPr="00770FBF" w:rsidRDefault="00683A08" w:rsidP="007C5CC7">
            <w:pPr>
              <w:jc w:val="left"/>
              <w:rPr>
                <w:rFonts w:cs="Times New Roman"/>
                <w:lang w:val="en-US"/>
              </w:rPr>
            </w:pPr>
            <w:r w:rsidRPr="00770FBF">
              <w:rPr>
                <w:rFonts w:cs="Times New Roman"/>
                <w:lang w:val="en-US"/>
              </w:rPr>
              <w:t>260 x 80 µm</w:t>
            </w:r>
          </w:p>
        </w:tc>
      </w:tr>
      <w:tr w:rsidR="00683A08" w:rsidRPr="00770FBF" w14:paraId="5C4B28F0" w14:textId="77777777" w:rsidTr="007C5CC7">
        <w:trPr>
          <w:trHeight w:val="300"/>
          <w:jc w:val="center"/>
        </w:trPr>
        <w:tc>
          <w:tcPr>
            <w:tcW w:w="2972" w:type="dxa"/>
            <w:vAlign w:val="center"/>
          </w:tcPr>
          <w:p w14:paraId="01467921" w14:textId="77777777" w:rsidR="00683A08" w:rsidRPr="00770FBF" w:rsidRDefault="00683A08" w:rsidP="007C5CC7">
            <w:pPr>
              <w:jc w:val="left"/>
              <w:rPr>
                <w:rFonts w:cs="Times New Roman"/>
                <w:lang w:val="en-US"/>
              </w:rPr>
            </w:pPr>
            <w:r w:rsidRPr="00770FBF">
              <w:rPr>
                <w:rFonts w:cs="Times New Roman"/>
                <w:lang w:val="en-US"/>
              </w:rPr>
              <w:t xml:space="preserve">High resolution mode </w:t>
            </w:r>
            <w:r w:rsidRPr="00770FBF">
              <w:rPr>
                <w:rFonts w:cs="Times New Roman"/>
                <w:lang w:val="en-US"/>
              </w:rPr>
              <w:br/>
              <w:t>- flux at 12 keV</w:t>
            </w:r>
            <w:r w:rsidRPr="00770FBF">
              <w:rPr>
                <w:rFonts w:cs="Times New Roman"/>
                <w:lang w:val="en-US"/>
              </w:rPr>
              <w:br/>
              <w:t>- energy resolution</w:t>
            </w:r>
          </w:p>
        </w:tc>
        <w:tc>
          <w:tcPr>
            <w:tcW w:w="2126" w:type="dxa"/>
            <w:vAlign w:val="center"/>
          </w:tcPr>
          <w:p w14:paraId="07A1912D" w14:textId="77777777" w:rsidR="00683A08" w:rsidRPr="00770FBF" w:rsidRDefault="00683A08" w:rsidP="007C5CC7">
            <w:pPr>
              <w:jc w:val="left"/>
              <w:rPr>
                <w:rFonts w:cs="Times New Roman"/>
                <w:lang w:val="en-US"/>
              </w:rPr>
            </w:pPr>
            <w:r w:rsidRPr="00770FBF">
              <w:rPr>
                <w:rFonts w:cs="Times New Roman"/>
                <w:lang w:val="en-US"/>
              </w:rPr>
              <w:br/>
              <w:t>~10</w:t>
            </w:r>
            <w:r w:rsidRPr="00770FBF">
              <w:rPr>
                <w:rFonts w:cs="Times New Roman"/>
                <w:vertAlign w:val="superscript"/>
                <w:lang w:val="en-US"/>
              </w:rPr>
              <w:t>12</w:t>
            </w:r>
            <w:r w:rsidRPr="00770FBF">
              <w:rPr>
                <w:rFonts w:cs="Times New Roman"/>
                <w:lang w:val="en-US"/>
              </w:rPr>
              <w:t xml:space="preserve"> ph/s</w:t>
            </w:r>
            <w:r w:rsidRPr="00770FBF">
              <w:rPr>
                <w:rFonts w:cs="Times New Roman"/>
                <w:lang w:val="en-US"/>
              </w:rPr>
              <w:br/>
            </w:r>
            <w:r w:rsidRPr="00770FBF">
              <w:rPr>
                <w:rFonts w:eastAsia="Calibri" w:cs="Times New Roman"/>
                <w:lang w:val="en-US"/>
              </w:rPr>
              <w:t>1.4x10</w:t>
            </w:r>
            <w:r w:rsidRPr="00770FBF">
              <w:rPr>
                <w:rFonts w:eastAsia="Calibri" w:cs="Times New Roman"/>
                <w:vertAlign w:val="superscript"/>
                <w:lang w:val="en-US"/>
              </w:rPr>
              <w:t>-4</w:t>
            </w:r>
            <w:r w:rsidRPr="00770FBF">
              <w:rPr>
                <w:rFonts w:eastAsia="Calibri" w:cs="Times New Roman"/>
                <w:lang w:val="en-US"/>
              </w:rPr>
              <w:t xml:space="preserve"> (</w:t>
            </w:r>
            <w:r w:rsidRPr="00770FBF">
              <w:rPr>
                <w:rFonts w:cs="Times New Roman"/>
                <w:color w:val="444444"/>
                <w:sz w:val="21"/>
                <w:szCs w:val="21"/>
                <w:lang w:val="en-US"/>
              </w:rPr>
              <w:t>ΔE/E)</w:t>
            </w:r>
          </w:p>
        </w:tc>
      </w:tr>
      <w:tr w:rsidR="00683A08" w:rsidRPr="00770FBF" w14:paraId="68F9061B" w14:textId="77777777" w:rsidTr="007C5CC7">
        <w:trPr>
          <w:trHeight w:val="300"/>
          <w:jc w:val="center"/>
        </w:trPr>
        <w:tc>
          <w:tcPr>
            <w:tcW w:w="2972" w:type="dxa"/>
            <w:vAlign w:val="center"/>
          </w:tcPr>
          <w:p w14:paraId="4A6E705E" w14:textId="77777777" w:rsidR="00683A08" w:rsidRPr="00770FBF" w:rsidRDefault="00683A08" w:rsidP="007C5CC7">
            <w:pPr>
              <w:jc w:val="left"/>
              <w:rPr>
                <w:rFonts w:cs="Times New Roman"/>
                <w:lang w:val="en-US"/>
              </w:rPr>
            </w:pPr>
            <w:r w:rsidRPr="00770FBF">
              <w:rPr>
                <w:rFonts w:cs="Times New Roman"/>
                <w:lang w:val="en-US"/>
              </w:rPr>
              <w:t>High flux mode</w:t>
            </w:r>
            <w:r w:rsidRPr="00770FBF">
              <w:rPr>
                <w:rFonts w:cs="Times New Roman"/>
                <w:lang w:val="en-US"/>
              </w:rPr>
              <w:br/>
              <w:t>- flux at 12 keV</w:t>
            </w:r>
            <w:r w:rsidRPr="00770FBF">
              <w:rPr>
                <w:rFonts w:cs="Times New Roman"/>
                <w:lang w:val="en-US"/>
              </w:rPr>
              <w:br/>
              <w:t>- energy resolution</w:t>
            </w:r>
          </w:p>
        </w:tc>
        <w:tc>
          <w:tcPr>
            <w:tcW w:w="2126" w:type="dxa"/>
            <w:vAlign w:val="center"/>
          </w:tcPr>
          <w:p w14:paraId="09D99AF9" w14:textId="77777777" w:rsidR="00683A08" w:rsidRPr="00770FBF" w:rsidRDefault="00683A08" w:rsidP="007C5CC7">
            <w:pPr>
              <w:jc w:val="left"/>
              <w:rPr>
                <w:rFonts w:cs="Times New Roman"/>
                <w:lang w:val="en-US"/>
              </w:rPr>
            </w:pPr>
          </w:p>
          <w:p w14:paraId="7C1AE73E" w14:textId="77777777" w:rsidR="00683A08" w:rsidRPr="00770FBF" w:rsidRDefault="00683A08" w:rsidP="007C5CC7">
            <w:pPr>
              <w:jc w:val="left"/>
              <w:rPr>
                <w:rFonts w:cs="Times New Roman"/>
                <w:lang w:val="en-US"/>
              </w:rPr>
            </w:pPr>
            <w:r w:rsidRPr="00770FBF">
              <w:rPr>
                <w:rFonts w:cs="Times New Roman"/>
                <w:lang w:val="en-US"/>
              </w:rPr>
              <w:t>~10</w:t>
            </w:r>
            <w:r w:rsidRPr="00770FBF">
              <w:rPr>
                <w:rFonts w:cs="Times New Roman"/>
                <w:vertAlign w:val="superscript"/>
                <w:lang w:val="en-US"/>
              </w:rPr>
              <w:t>13</w:t>
            </w:r>
            <w:r w:rsidRPr="00770FBF">
              <w:rPr>
                <w:rFonts w:cs="Times New Roman"/>
                <w:lang w:val="en-US"/>
              </w:rPr>
              <w:t xml:space="preserve"> ph/s</w:t>
            </w:r>
          </w:p>
          <w:p w14:paraId="2F263CD8" w14:textId="77777777" w:rsidR="00683A08" w:rsidRPr="00770FBF" w:rsidRDefault="00683A08" w:rsidP="007C5CC7">
            <w:pPr>
              <w:jc w:val="left"/>
              <w:rPr>
                <w:rFonts w:cs="Times New Roman"/>
                <w:lang w:val="en-US"/>
              </w:rPr>
            </w:pPr>
            <w:r w:rsidRPr="00770FBF">
              <w:rPr>
                <w:rFonts w:cs="Times New Roman"/>
                <w:lang w:val="en-US"/>
              </w:rPr>
              <w:t xml:space="preserve"> 0.5-1% (</w:t>
            </w:r>
            <w:r w:rsidRPr="00770FBF">
              <w:rPr>
                <w:rFonts w:cs="Times New Roman"/>
                <w:color w:val="444444"/>
                <w:sz w:val="21"/>
                <w:szCs w:val="21"/>
                <w:lang w:val="en-US"/>
              </w:rPr>
              <w:t>ΔE/E)</w:t>
            </w:r>
          </w:p>
        </w:tc>
      </w:tr>
      <w:tr w:rsidR="00683A08" w:rsidRPr="00770FBF" w14:paraId="7EAC8E02" w14:textId="77777777" w:rsidTr="007C5CC7">
        <w:trPr>
          <w:trHeight w:val="300"/>
          <w:jc w:val="center"/>
        </w:trPr>
        <w:tc>
          <w:tcPr>
            <w:tcW w:w="2972" w:type="dxa"/>
            <w:vAlign w:val="center"/>
          </w:tcPr>
          <w:p w14:paraId="346C1945" w14:textId="77777777" w:rsidR="00683A08" w:rsidRPr="00770FBF" w:rsidRDefault="00683A08" w:rsidP="007C5CC7">
            <w:pPr>
              <w:jc w:val="left"/>
              <w:rPr>
                <w:rFonts w:cs="Times New Roman"/>
                <w:lang w:val="en-US"/>
              </w:rPr>
            </w:pPr>
            <w:r w:rsidRPr="00770FBF">
              <w:rPr>
                <w:rFonts w:cs="Times New Roman"/>
                <w:lang w:val="en-US"/>
              </w:rPr>
              <w:t>Divergence</w:t>
            </w:r>
          </w:p>
        </w:tc>
        <w:tc>
          <w:tcPr>
            <w:tcW w:w="2126" w:type="dxa"/>
            <w:vAlign w:val="center"/>
          </w:tcPr>
          <w:p w14:paraId="32122F47" w14:textId="77777777" w:rsidR="00683A08" w:rsidRPr="00770FBF" w:rsidRDefault="00683A08" w:rsidP="007C5CC7">
            <w:pPr>
              <w:jc w:val="left"/>
              <w:rPr>
                <w:rFonts w:cs="Times New Roman"/>
                <w:lang w:val="en-US"/>
              </w:rPr>
            </w:pPr>
            <w:r w:rsidRPr="00770FBF">
              <w:rPr>
                <w:rFonts w:cs="Times New Roman"/>
                <w:lang w:val="en-US"/>
              </w:rPr>
              <w:t>1.9 mrad x 0.3 mrad</w:t>
            </w:r>
          </w:p>
        </w:tc>
      </w:tr>
      <w:tr w:rsidR="00683A08" w:rsidRPr="00770FBF" w14:paraId="7AA48789" w14:textId="77777777" w:rsidTr="007C5CC7">
        <w:trPr>
          <w:trHeight w:val="300"/>
          <w:jc w:val="center"/>
        </w:trPr>
        <w:tc>
          <w:tcPr>
            <w:tcW w:w="2972" w:type="dxa"/>
            <w:vAlign w:val="center"/>
          </w:tcPr>
          <w:p w14:paraId="3CD0CD0D" w14:textId="77777777" w:rsidR="00683A08" w:rsidRPr="00770FBF" w:rsidRDefault="00683A08" w:rsidP="007C5CC7">
            <w:pPr>
              <w:jc w:val="left"/>
              <w:rPr>
                <w:rFonts w:cs="Times New Roman"/>
                <w:highlight w:val="yellow"/>
                <w:lang w:val="en-US"/>
              </w:rPr>
            </w:pPr>
            <w:r w:rsidRPr="00770FBF">
              <w:rPr>
                <w:rFonts w:cs="Times New Roman"/>
                <w:lang w:val="en-US"/>
              </w:rPr>
              <w:t>Position of a sample</w:t>
            </w:r>
          </w:p>
        </w:tc>
        <w:tc>
          <w:tcPr>
            <w:tcW w:w="2126" w:type="dxa"/>
            <w:vAlign w:val="center"/>
          </w:tcPr>
          <w:p w14:paraId="31573BF9" w14:textId="77777777" w:rsidR="00683A08" w:rsidRPr="00770FBF" w:rsidRDefault="00683A08" w:rsidP="007C5CC7">
            <w:pPr>
              <w:jc w:val="left"/>
              <w:rPr>
                <w:rFonts w:cs="Times New Roman"/>
                <w:lang w:val="en-US"/>
              </w:rPr>
            </w:pPr>
            <w:r w:rsidRPr="00770FBF">
              <w:rPr>
                <w:rFonts w:cs="Times New Roman"/>
                <w:lang w:val="en-US"/>
              </w:rPr>
              <w:t>42 m from source</w:t>
            </w:r>
          </w:p>
        </w:tc>
      </w:tr>
    </w:tbl>
    <w:p w14:paraId="14F088EF" w14:textId="77777777" w:rsidR="00683A08" w:rsidRPr="00770FBF" w:rsidRDefault="00683A08" w:rsidP="00683A08">
      <w:pPr>
        <w:rPr>
          <w:lang w:val="en-US"/>
        </w:rPr>
      </w:pPr>
    </w:p>
    <w:p w14:paraId="6AC1FD88" w14:textId="77777777" w:rsidR="00683A08" w:rsidRPr="00770FBF" w:rsidRDefault="00683A08" w:rsidP="00683A08">
      <w:pPr>
        <w:rPr>
          <w:lang w:val="en-US"/>
        </w:rPr>
      </w:pPr>
    </w:p>
    <w:p w14:paraId="2F2839E7" w14:textId="2104EDFC" w:rsidR="00683A08" w:rsidRPr="00770FBF" w:rsidRDefault="00683A08" w:rsidP="00061743">
      <w:pPr>
        <w:pStyle w:val="Nagwek1"/>
        <w:numPr>
          <w:ilvl w:val="0"/>
          <w:numId w:val="15"/>
        </w:numPr>
      </w:pPr>
      <w:bookmarkStart w:id="10" w:name="_Toc199507590"/>
      <w:r w:rsidRPr="00770FBF">
        <w:t>General specification of the scope of delivery</w:t>
      </w:r>
      <w:bookmarkEnd w:id="10"/>
    </w:p>
    <w:p w14:paraId="3542112F" w14:textId="1C9AC2A1" w:rsidR="00683A08" w:rsidRPr="00770FBF" w:rsidRDefault="00683A08" w:rsidP="00683A08">
      <w:pPr>
        <w:ind w:firstLine="360"/>
        <w:rPr>
          <w:lang w:val="en-US"/>
        </w:rPr>
      </w:pPr>
      <w:r w:rsidRPr="5D73C5BC">
        <w:rPr>
          <w:lang w:val="en-US"/>
        </w:rPr>
        <w:t xml:space="preserve">The Contractor </w:t>
      </w:r>
      <w:r w:rsidR="00FE108C">
        <w:rPr>
          <w:lang w:val="en-US"/>
        </w:rPr>
        <w:t>must</w:t>
      </w:r>
      <w:r w:rsidR="00FE108C" w:rsidRPr="5D73C5BC">
        <w:rPr>
          <w:lang w:val="en-US"/>
        </w:rPr>
        <w:t xml:space="preserve"> </w:t>
      </w:r>
      <w:r w:rsidR="58E406E5" w:rsidRPr="5D73C5BC">
        <w:rPr>
          <w:lang w:val="en-US"/>
        </w:rPr>
        <w:t xml:space="preserve">manufacture, test, </w:t>
      </w:r>
      <w:r w:rsidRPr="5D73C5BC">
        <w:rPr>
          <w:lang w:val="en-US"/>
        </w:rPr>
        <w:t xml:space="preserve">deliver </w:t>
      </w:r>
      <w:r w:rsidR="507CAE3B" w:rsidRPr="5D73C5BC">
        <w:rPr>
          <w:lang w:val="en-US"/>
        </w:rPr>
        <w:t xml:space="preserve">and install </w:t>
      </w:r>
      <w:r w:rsidRPr="5D73C5BC">
        <w:rPr>
          <w:lang w:val="en-US"/>
        </w:rPr>
        <w:t xml:space="preserve">a fully operational microdiffractometer specifically designed for macromolecular X-ray crystallography experiments to be conducted at a synchrotron beamline. The microdiffractometer must be </w:t>
      </w:r>
      <w:r w:rsidRPr="5D73C5BC">
        <w:rPr>
          <w:lang w:val="en-US"/>
        </w:rPr>
        <w:lastRenderedPageBreak/>
        <w:t xml:space="preserve">capable of performing high-precision crystallographic diffraction data measurements with exceptional accuracy, suitable for single-crystal analysis. The system must support multiple data collection modes, including: standard, helical, grid, and raster scanning techniques, as well as experiments utilizing Merrill-Bassett Diamond Anvil Cells (DACs). The equipment </w:t>
      </w:r>
      <w:r w:rsidR="00FE108C">
        <w:rPr>
          <w:lang w:val="en-US"/>
        </w:rPr>
        <w:t>has to be</w:t>
      </w:r>
      <w:r w:rsidR="00FE108C" w:rsidRPr="5D73C5BC">
        <w:rPr>
          <w:lang w:val="en-US"/>
        </w:rPr>
        <w:t xml:space="preserve"> </w:t>
      </w:r>
      <w:r w:rsidRPr="5D73C5BC">
        <w:rPr>
          <w:lang w:val="en-US"/>
        </w:rPr>
        <w:t>be optimized to facilitate flexible, high-throughput data acquisition under various experimental conditions.</w:t>
      </w:r>
    </w:p>
    <w:p w14:paraId="429A0FBE" w14:textId="77777777" w:rsidR="00683A08" w:rsidRPr="00770FBF" w:rsidRDefault="00683A08" w:rsidP="00683A08">
      <w:pPr>
        <w:ind w:firstLine="360"/>
        <w:rPr>
          <w:lang w:val="en-US"/>
        </w:rPr>
      </w:pPr>
      <w:r w:rsidRPr="00770FBF">
        <w:rPr>
          <w:lang w:val="en-US"/>
        </w:rPr>
        <w:t>Additionally, the microdiffractometer must be fully compatible with standard protein crystallography beamline infrastructure. This includes, but is not limited to, integration with a sample-changing robot (e.g., Irelec or equivalent), detectors such as Dectris EIGER2 (or similar high-performance detectors), and a fluorescence detector. Compatibility with cryostream systems for cryogenic cooling of samples is also required.</w:t>
      </w:r>
    </w:p>
    <w:p w14:paraId="2B5AB36F" w14:textId="77777777" w:rsidR="00683A08" w:rsidRDefault="00683A08" w:rsidP="00683A08">
      <w:pPr>
        <w:ind w:firstLine="360"/>
        <w:rPr>
          <w:lang w:val="en-US"/>
        </w:rPr>
      </w:pPr>
      <w:r w:rsidRPr="00770FBF">
        <w:rPr>
          <w:lang w:val="en-US"/>
        </w:rPr>
        <w:t xml:space="preserve">The system must also be fully interoperable with the MXCuBE software, which will be used for experiment control and data acquisition. The Contractor must ensure that all necessary drivers, software modules, and interfaces are provided to enable seamless integration with MXCuBE, allowing for efficient experiment setup, monitoring, and data collection. </w:t>
      </w:r>
    </w:p>
    <w:p w14:paraId="51A260C5" w14:textId="78295EAC" w:rsidR="00683A08" w:rsidRPr="00770FBF" w:rsidRDefault="00683A08" w:rsidP="00683A08">
      <w:pPr>
        <w:ind w:firstLine="360"/>
        <w:rPr>
          <w:lang w:val="en-US"/>
        </w:rPr>
      </w:pPr>
      <w:bookmarkStart w:id="11" w:name="_Hlk194063123"/>
      <w:r w:rsidRPr="005A540A">
        <w:rPr>
          <w:rFonts w:cs="Times New Roman"/>
          <w:lang w:val="en-GB"/>
        </w:rPr>
        <w:t xml:space="preserve">The </w:t>
      </w:r>
      <w:r w:rsidR="00FE108C">
        <w:rPr>
          <w:rFonts w:cs="Times New Roman"/>
          <w:lang w:val="en-GB"/>
        </w:rPr>
        <w:t>Contractor</w:t>
      </w:r>
      <w:r w:rsidR="00FE108C" w:rsidRPr="005A540A">
        <w:rPr>
          <w:rFonts w:cs="Times New Roman"/>
          <w:lang w:val="en-GB"/>
        </w:rPr>
        <w:t xml:space="preserve"> </w:t>
      </w:r>
      <w:r w:rsidRPr="005A540A">
        <w:rPr>
          <w:rFonts w:cs="Times New Roman"/>
          <w:lang w:val="en-GB"/>
        </w:rPr>
        <w:t>is required to follow the requirements and standards</w:t>
      </w:r>
      <w:bookmarkEnd w:id="11"/>
      <w:r w:rsidRPr="005A540A">
        <w:rPr>
          <w:rFonts w:cs="Times New Roman"/>
          <w:lang w:val="en-GB"/>
        </w:rPr>
        <w:t>, describing technologies and materials</w:t>
      </w:r>
      <w:r>
        <w:rPr>
          <w:rFonts w:cs="Times New Roman"/>
          <w:lang w:val="en-GB"/>
        </w:rPr>
        <w:t xml:space="preserve"> used in SOLARIS. All of the requirements are described in Appendices listed in section 4. </w:t>
      </w:r>
    </w:p>
    <w:p w14:paraId="6F61C073" w14:textId="77777777" w:rsidR="00683A08" w:rsidRDefault="00683A08" w:rsidP="00683A08">
      <w:pPr>
        <w:ind w:firstLine="360"/>
        <w:rPr>
          <w:lang w:val="en-US"/>
        </w:rPr>
      </w:pPr>
      <w:r w:rsidRPr="00770FBF">
        <w:rPr>
          <w:lang w:val="en-US"/>
        </w:rPr>
        <w:t xml:space="preserve">The detailed specifications of the diffractometer is described in following paragraphs. </w:t>
      </w:r>
      <w:bookmarkStart w:id="12" w:name="_Toc194580267"/>
    </w:p>
    <w:p w14:paraId="5F59AF09" w14:textId="3DCE5BF9" w:rsidR="00683A08" w:rsidRPr="00683A08" w:rsidRDefault="00683A08" w:rsidP="00683A08">
      <w:pPr>
        <w:pStyle w:val="Nagwek2"/>
        <w:numPr>
          <w:ilvl w:val="0"/>
          <w:numId w:val="13"/>
        </w:numPr>
      </w:pPr>
      <w:bookmarkStart w:id="13" w:name="_Toc199507591"/>
      <w:r w:rsidRPr="00683A08">
        <w:t>Sample positioning axes</w:t>
      </w:r>
      <w:bookmarkEnd w:id="12"/>
      <w:bookmarkEnd w:id="13"/>
    </w:p>
    <w:p w14:paraId="0E9CCE5B" w14:textId="77777777" w:rsidR="00683A08" w:rsidRDefault="00683A08" w:rsidP="00683A08">
      <w:pPr>
        <w:ind w:firstLine="708"/>
        <w:rPr>
          <w:rFonts w:cs="Times New Roman"/>
          <w:lang w:val="en-US" w:eastAsia="pl-PL"/>
        </w:rPr>
      </w:pPr>
      <w:r w:rsidRPr="00770FBF">
        <w:rPr>
          <w:lang w:val="en-US" w:eastAsia="pl-PL"/>
        </w:rPr>
        <w:t xml:space="preserve">The microdiffractometer must support a variety of movements for sample centering and data collection, including but not limited to: omega rotation, alignment (AX), raster and grid scans (AY, AZ), centering, and helical scans (CX, XY). These movements should be fully controllable with high precision to facilitate accurate and reliable data acquisition. Detailed specifications and requirements for each axis of movement are provided in Table 2. The orientation of </w:t>
      </w:r>
      <w:r w:rsidRPr="00770FBF">
        <w:rPr>
          <w:rFonts w:cs="Times New Roman"/>
          <w:lang w:val="en-US" w:eastAsia="pl-PL"/>
        </w:rPr>
        <w:t>Ω axis should be vertical.</w:t>
      </w:r>
    </w:p>
    <w:p w14:paraId="16308B73" w14:textId="77777777" w:rsidR="00115775" w:rsidRDefault="00115775" w:rsidP="00683A08">
      <w:pPr>
        <w:ind w:firstLine="708"/>
        <w:rPr>
          <w:rFonts w:cs="Times New Roman"/>
          <w:lang w:val="en-US" w:eastAsia="pl-PL"/>
        </w:rPr>
      </w:pPr>
    </w:p>
    <w:p w14:paraId="6245B614" w14:textId="77777777" w:rsidR="00115775" w:rsidRPr="00770FBF" w:rsidRDefault="00115775" w:rsidP="00683A08">
      <w:pPr>
        <w:ind w:firstLine="708"/>
        <w:rPr>
          <w:rFonts w:cs="Times New Roman"/>
          <w:lang w:val="en-US" w:eastAsia="pl-PL"/>
        </w:rPr>
      </w:pPr>
    </w:p>
    <w:p w14:paraId="30A5239E" w14:textId="77777777" w:rsidR="00683A08" w:rsidRPr="00770FBF" w:rsidRDefault="00683A08" w:rsidP="00683A08">
      <w:pPr>
        <w:pStyle w:val="Podpistabela"/>
        <w:rPr>
          <w:lang w:val="en-US"/>
        </w:rPr>
      </w:pPr>
      <w:r w:rsidRPr="00770FBF">
        <w:rPr>
          <w:lang w:val="en-US"/>
        </w:rPr>
        <w:lastRenderedPageBreak/>
        <w:t xml:space="preserve">Table </w:t>
      </w:r>
      <w:r w:rsidRPr="00770FBF">
        <w:rPr>
          <w:lang w:val="en-US"/>
        </w:rPr>
        <w:fldChar w:fldCharType="begin"/>
      </w:r>
      <w:r w:rsidRPr="00770FBF">
        <w:rPr>
          <w:lang w:val="en-US"/>
        </w:rPr>
        <w:instrText xml:space="preserve"> SEQ Table \* ARABIC </w:instrText>
      </w:r>
      <w:r w:rsidRPr="00770FBF">
        <w:rPr>
          <w:lang w:val="en-US"/>
        </w:rPr>
        <w:fldChar w:fldCharType="separate"/>
      </w:r>
      <w:r>
        <w:rPr>
          <w:noProof/>
          <w:lang w:val="en-US"/>
        </w:rPr>
        <w:t>2</w:t>
      </w:r>
      <w:r w:rsidRPr="00770FBF">
        <w:rPr>
          <w:lang w:val="en-US"/>
        </w:rPr>
        <w:fldChar w:fldCharType="end"/>
      </w:r>
      <w:r w:rsidRPr="00770FBF">
        <w:rPr>
          <w:lang w:val="en-US"/>
        </w:rPr>
        <w:t xml:space="preserve">. Minimal requirements for </w:t>
      </w:r>
      <w:r w:rsidRPr="00770FBF">
        <w:rPr>
          <w:rFonts w:cs="Times New Roman"/>
          <w:lang w:val="en-US" w:eastAsia="pl-PL"/>
        </w:rPr>
        <w:t>sample positioning axes</w:t>
      </w:r>
    </w:p>
    <w:tbl>
      <w:tblPr>
        <w:tblStyle w:val="Tabelasiatki7kolorow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265"/>
        <w:gridCol w:w="1216"/>
        <w:gridCol w:w="894"/>
        <w:gridCol w:w="1594"/>
        <w:gridCol w:w="1728"/>
        <w:gridCol w:w="1855"/>
      </w:tblGrid>
      <w:tr w:rsidR="00683A08" w:rsidRPr="00770FBF" w14:paraId="22F18CA5" w14:textId="77777777" w:rsidTr="007C5CC7">
        <w:trPr>
          <w:cnfStyle w:val="100000000000" w:firstRow="1" w:lastRow="0" w:firstColumn="0" w:lastColumn="0" w:oddVBand="0" w:evenVBand="0" w:oddHBand="0" w:evenHBand="0" w:firstRowFirstColumn="0" w:firstRowLastColumn="0" w:lastRowFirstColumn="0" w:lastRowLastColumn="0"/>
          <w:trHeight w:val="567"/>
        </w:trPr>
        <w:tc>
          <w:tcPr>
            <w:cnfStyle w:val="001000000100" w:firstRow="0" w:lastRow="0" w:firstColumn="1" w:lastColumn="0" w:oddVBand="0" w:evenVBand="0" w:oddHBand="0" w:evenHBand="0" w:firstRowFirstColumn="1"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14:paraId="4A5444D5" w14:textId="77777777" w:rsidR="00683A08" w:rsidRPr="00770FBF" w:rsidRDefault="00683A08" w:rsidP="007C5CC7">
            <w:pPr>
              <w:jc w:val="center"/>
              <w:rPr>
                <w:rFonts w:ascii="Aptos" w:eastAsia="Times New Roman" w:hAnsi="Aptos" w:cs="Times New Roman"/>
                <w:color w:val="000000"/>
                <w:kern w:val="0"/>
                <w:lang w:val="en-US" w:eastAsia="pl-PL"/>
                <w14:ligatures w14:val="none"/>
              </w:rPr>
            </w:pPr>
          </w:p>
        </w:tc>
        <w:tc>
          <w:tcPr>
            <w:tcW w:w="0" w:type="auto"/>
            <w:tcBorders>
              <w:top w:val="none" w:sz="0" w:space="0" w:color="auto"/>
              <w:left w:val="none" w:sz="0" w:space="0" w:color="auto"/>
              <w:right w:val="none" w:sz="0" w:space="0" w:color="auto"/>
            </w:tcBorders>
            <w:vAlign w:val="center"/>
            <w:hideMark/>
          </w:tcPr>
          <w:p w14:paraId="1DE17074"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max. Speed</w:t>
            </w:r>
          </w:p>
        </w:tc>
        <w:tc>
          <w:tcPr>
            <w:tcW w:w="0" w:type="auto"/>
            <w:tcBorders>
              <w:top w:val="none" w:sz="0" w:space="0" w:color="auto"/>
              <w:left w:val="none" w:sz="0" w:space="0" w:color="auto"/>
              <w:right w:val="none" w:sz="0" w:space="0" w:color="auto"/>
            </w:tcBorders>
            <w:vAlign w:val="center"/>
            <w:hideMark/>
          </w:tcPr>
          <w:p w14:paraId="6CA3DA25"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SOC radius</w:t>
            </w:r>
          </w:p>
        </w:tc>
        <w:tc>
          <w:tcPr>
            <w:tcW w:w="0" w:type="auto"/>
            <w:tcBorders>
              <w:top w:val="none" w:sz="0" w:space="0" w:color="auto"/>
              <w:left w:val="none" w:sz="0" w:space="0" w:color="auto"/>
              <w:right w:val="none" w:sz="0" w:space="0" w:color="auto"/>
            </w:tcBorders>
            <w:vAlign w:val="center"/>
            <w:hideMark/>
          </w:tcPr>
          <w:p w14:paraId="64F4ACA2"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Range</w:t>
            </w:r>
          </w:p>
        </w:tc>
        <w:tc>
          <w:tcPr>
            <w:tcW w:w="0" w:type="auto"/>
            <w:tcBorders>
              <w:top w:val="none" w:sz="0" w:space="0" w:color="auto"/>
              <w:left w:val="none" w:sz="0" w:space="0" w:color="auto"/>
              <w:right w:val="none" w:sz="0" w:space="0" w:color="auto"/>
            </w:tcBorders>
            <w:vAlign w:val="center"/>
            <w:hideMark/>
          </w:tcPr>
          <w:p w14:paraId="198FB1F9"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Resolution</w:t>
            </w:r>
          </w:p>
        </w:tc>
        <w:tc>
          <w:tcPr>
            <w:tcW w:w="0" w:type="auto"/>
            <w:tcBorders>
              <w:top w:val="none" w:sz="0" w:space="0" w:color="auto"/>
              <w:left w:val="none" w:sz="0" w:space="0" w:color="auto"/>
              <w:right w:val="none" w:sz="0" w:space="0" w:color="auto"/>
            </w:tcBorders>
            <w:vAlign w:val="center"/>
            <w:hideMark/>
          </w:tcPr>
          <w:p w14:paraId="38AB5F3F"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Dynamic accuracy</w:t>
            </w:r>
          </w:p>
        </w:tc>
        <w:tc>
          <w:tcPr>
            <w:tcW w:w="0" w:type="auto"/>
            <w:tcBorders>
              <w:top w:val="none" w:sz="0" w:space="0" w:color="auto"/>
              <w:left w:val="none" w:sz="0" w:space="0" w:color="auto"/>
              <w:right w:val="none" w:sz="0" w:space="0" w:color="auto"/>
            </w:tcBorders>
            <w:vAlign w:val="center"/>
            <w:hideMark/>
          </w:tcPr>
          <w:p w14:paraId="2171B9CC"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Repeatability</w:t>
            </w:r>
          </w:p>
        </w:tc>
      </w:tr>
      <w:tr w:rsidR="00683A08" w:rsidRPr="00770FBF" w14:paraId="5EF1C209" w14:textId="77777777" w:rsidTr="007C5C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7AD5F00" w14:textId="77777777" w:rsidR="00683A08" w:rsidRPr="00770FBF" w:rsidRDefault="00683A08" w:rsidP="007C5CC7">
            <w:pPr>
              <w:jc w:val="center"/>
              <w:rPr>
                <w:rFonts w:eastAsia="Times New Roman" w:cs="Times New Roman"/>
                <w:b/>
                <w:bCs/>
                <w:color w:val="000000"/>
                <w:kern w:val="0"/>
                <w:sz w:val="22"/>
                <w:szCs w:val="22"/>
                <w:lang w:val="en-US" w:eastAsia="pl-PL"/>
                <w14:ligatures w14:val="none"/>
              </w:rPr>
            </w:pPr>
            <w:r w:rsidRPr="00770FBF">
              <w:rPr>
                <w:rFonts w:eastAsia="Times New Roman" w:cs="Times New Roman"/>
                <w:b/>
                <w:bCs/>
                <w:color w:val="000000"/>
                <w:kern w:val="0"/>
                <w:sz w:val="22"/>
                <w:szCs w:val="22"/>
                <w:lang w:val="en-US" w:eastAsia="pl-PL"/>
                <w14:ligatures w14:val="none"/>
              </w:rPr>
              <w:t>Ω</w:t>
            </w:r>
          </w:p>
        </w:tc>
        <w:tc>
          <w:tcPr>
            <w:tcW w:w="0" w:type="auto"/>
            <w:hideMark/>
          </w:tcPr>
          <w:p w14:paraId="41223A4C"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less than 720 deg/s</w:t>
            </w:r>
          </w:p>
        </w:tc>
        <w:tc>
          <w:tcPr>
            <w:tcW w:w="0" w:type="auto"/>
            <w:hideMark/>
          </w:tcPr>
          <w:p w14:paraId="59235165"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≤200 nm at 10 deg/s</w:t>
            </w:r>
          </w:p>
        </w:tc>
        <w:tc>
          <w:tcPr>
            <w:tcW w:w="0" w:type="auto"/>
            <w:hideMark/>
          </w:tcPr>
          <w:p w14:paraId="3AF67D16"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 limit</w:t>
            </w:r>
          </w:p>
        </w:tc>
        <w:tc>
          <w:tcPr>
            <w:tcW w:w="0" w:type="auto"/>
            <w:hideMark/>
          </w:tcPr>
          <w:p w14:paraId="1D299654"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worse than 0.1 µdeg</w:t>
            </w:r>
          </w:p>
        </w:tc>
        <w:tc>
          <w:tcPr>
            <w:tcW w:w="0" w:type="auto"/>
            <w:hideMark/>
          </w:tcPr>
          <w:p w14:paraId="5F78C61E"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below ± mdeg at 10 deg/s</w:t>
            </w:r>
          </w:p>
        </w:tc>
        <w:tc>
          <w:tcPr>
            <w:tcW w:w="0" w:type="auto"/>
            <w:hideMark/>
          </w:tcPr>
          <w:p w14:paraId="3755502E"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better than ± 0.5 mdeg</w:t>
            </w:r>
          </w:p>
        </w:tc>
      </w:tr>
      <w:tr w:rsidR="00683A08" w:rsidRPr="00770FBF" w14:paraId="26E2AA91" w14:textId="77777777" w:rsidTr="007C5CC7">
        <w:trPr>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7BADBE7D" w14:textId="77777777" w:rsidR="00683A08" w:rsidRPr="00770FBF" w:rsidRDefault="00683A08" w:rsidP="007C5CC7">
            <w:pPr>
              <w:jc w:val="center"/>
              <w:rPr>
                <w:rFonts w:eastAsia="Times New Roman" w:cs="Times New Roman"/>
                <w:b/>
                <w:bCs/>
                <w:color w:val="000000"/>
                <w:kern w:val="0"/>
                <w:sz w:val="22"/>
                <w:szCs w:val="22"/>
                <w:lang w:val="en-US" w:eastAsia="pl-PL"/>
                <w14:ligatures w14:val="none"/>
              </w:rPr>
            </w:pPr>
            <w:r w:rsidRPr="00770FBF">
              <w:rPr>
                <w:rFonts w:eastAsia="Times New Roman" w:cs="Times New Roman"/>
                <w:b/>
                <w:bCs/>
                <w:color w:val="000000"/>
                <w:kern w:val="0"/>
                <w:sz w:val="22"/>
                <w:szCs w:val="22"/>
                <w:lang w:val="en-US" w:eastAsia="pl-PL"/>
                <w14:ligatures w14:val="none"/>
              </w:rPr>
              <w:t>AX</w:t>
            </w:r>
          </w:p>
        </w:tc>
        <w:tc>
          <w:tcPr>
            <w:tcW w:w="0" w:type="auto"/>
            <w:hideMark/>
          </w:tcPr>
          <w:p w14:paraId="5371BED7"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less than 2 mm/s</w:t>
            </w:r>
          </w:p>
        </w:tc>
        <w:tc>
          <w:tcPr>
            <w:tcW w:w="0" w:type="auto"/>
            <w:hideMark/>
          </w:tcPr>
          <w:p w14:paraId="4DB31AA4"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w:t>
            </w:r>
          </w:p>
        </w:tc>
        <w:tc>
          <w:tcPr>
            <w:tcW w:w="0" w:type="auto"/>
            <w:hideMark/>
          </w:tcPr>
          <w:p w14:paraId="6B11EBEE"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≥5 mm</w:t>
            </w:r>
          </w:p>
        </w:tc>
        <w:tc>
          <w:tcPr>
            <w:tcW w:w="0" w:type="auto"/>
            <w:hideMark/>
          </w:tcPr>
          <w:p w14:paraId="2994E7F2"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worse than 16 nm</w:t>
            </w:r>
          </w:p>
        </w:tc>
        <w:tc>
          <w:tcPr>
            <w:tcW w:w="0" w:type="auto"/>
            <w:hideMark/>
          </w:tcPr>
          <w:p w14:paraId="50930AB3" w14:textId="69B62A84"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xml:space="preserve">not </w:t>
            </w:r>
            <w:r w:rsidR="00F67E82" w:rsidRPr="00770FBF">
              <w:rPr>
                <w:rFonts w:eastAsia="Times New Roman" w:cs="Times New Roman"/>
                <w:color w:val="000000"/>
                <w:kern w:val="0"/>
                <w:sz w:val="22"/>
                <w:szCs w:val="22"/>
                <w:lang w:val="en-US" w:eastAsia="pl-PL"/>
                <w14:ligatures w14:val="none"/>
              </w:rPr>
              <w:t>specified</w:t>
            </w:r>
          </w:p>
        </w:tc>
        <w:tc>
          <w:tcPr>
            <w:tcW w:w="0" w:type="auto"/>
            <w:hideMark/>
          </w:tcPr>
          <w:p w14:paraId="340E626C"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better than ± 2 µm</w:t>
            </w:r>
          </w:p>
        </w:tc>
      </w:tr>
      <w:tr w:rsidR="00683A08" w:rsidRPr="00FA4AC1" w14:paraId="1F101F29" w14:textId="77777777" w:rsidTr="007C5C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0B654A4" w14:textId="77777777" w:rsidR="00683A08" w:rsidRPr="00770FBF" w:rsidRDefault="00683A08" w:rsidP="007C5CC7">
            <w:pPr>
              <w:jc w:val="center"/>
              <w:rPr>
                <w:rFonts w:eastAsia="Times New Roman" w:cs="Times New Roman"/>
                <w:b/>
                <w:bCs/>
                <w:color w:val="000000"/>
                <w:kern w:val="0"/>
                <w:sz w:val="22"/>
                <w:szCs w:val="22"/>
                <w:lang w:val="en-US" w:eastAsia="pl-PL"/>
                <w14:ligatures w14:val="none"/>
              </w:rPr>
            </w:pPr>
            <w:r w:rsidRPr="00770FBF">
              <w:rPr>
                <w:rFonts w:eastAsia="Times New Roman" w:cs="Times New Roman"/>
                <w:b/>
                <w:bCs/>
                <w:color w:val="000000"/>
                <w:kern w:val="0"/>
                <w:sz w:val="22"/>
                <w:szCs w:val="22"/>
                <w:lang w:val="en-US" w:eastAsia="pl-PL"/>
                <w14:ligatures w14:val="none"/>
              </w:rPr>
              <w:t>AY</w:t>
            </w:r>
          </w:p>
        </w:tc>
        <w:tc>
          <w:tcPr>
            <w:tcW w:w="0" w:type="auto"/>
            <w:hideMark/>
          </w:tcPr>
          <w:p w14:paraId="4DD9FADC"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less than 15 mm/s</w:t>
            </w:r>
          </w:p>
        </w:tc>
        <w:tc>
          <w:tcPr>
            <w:tcW w:w="0" w:type="auto"/>
            <w:hideMark/>
          </w:tcPr>
          <w:p w14:paraId="3E799740"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w:t>
            </w:r>
          </w:p>
        </w:tc>
        <w:tc>
          <w:tcPr>
            <w:tcW w:w="0" w:type="auto"/>
            <w:hideMark/>
          </w:tcPr>
          <w:p w14:paraId="59AC371C"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≥108 mm</w:t>
            </w:r>
          </w:p>
        </w:tc>
        <w:tc>
          <w:tcPr>
            <w:tcW w:w="0" w:type="auto"/>
            <w:hideMark/>
          </w:tcPr>
          <w:p w14:paraId="3ECB043D"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worse than 10 nm</w:t>
            </w:r>
          </w:p>
        </w:tc>
        <w:tc>
          <w:tcPr>
            <w:tcW w:w="0" w:type="auto"/>
            <w:hideMark/>
          </w:tcPr>
          <w:p w14:paraId="0D6E748D"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below 1 µm at 15 mm/s on load</w:t>
            </w:r>
          </w:p>
        </w:tc>
        <w:tc>
          <w:tcPr>
            <w:tcW w:w="0" w:type="auto"/>
            <w:hideMark/>
          </w:tcPr>
          <w:p w14:paraId="6179F746"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better than ±150 nm on load</w:t>
            </w:r>
          </w:p>
        </w:tc>
      </w:tr>
      <w:tr w:rsidR="00683A08" w:rsidRPr="00770FBF" w14:paraId="5868E717" w14:textId="77777777" w:rsidTr="007C5CC7">
        <w:trPr>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8881C7E" w14:textId="77777777" w:rsidR="00683A08" w:rsidRPr="00770FBF" w:rsidRDefault="00683A08" w:rsidP="007C5CC7">
            <w:pPr>
              <w:jc w:val="center"/>
              <w:rPr>
                <w:rFonts w:eastAsia="Times New Roman" w:cs="Times New Roman"/>
                <w:b/>
                <w:bCs/>
                <w:color w:val="000000"/>
                <w:kern w:val="0"/>
                <w:sz w:val="22"/>
                <w:szCs w:val="22"/>
                <w:lang w:val="en-US" w:eastAsia="pl-PL"/>
                <w14:ligatures w14:val="none"/>
              </w:rPr>
            </w:pPr>
            <w:r w:rsidRPr="00770FBF">
              <w:rPr>
                <w:rFonts w:eastAsia="Times New Roman" w:cs="Times New Roman"/>
                <w:b/>
                <w:bCs/>
                <w:color w:val="000000"/>
                <w:kern w:val="0"/>
                <w:sz w:val="22"/>
                <w:szCs w:val="22"/>
                <w:lang w:val="en-US" w:eastAsia="pl-PL"/>
                <w14:ligatures w14:val="none"/>
              </w:rPr>
              <w:t>AZ</w:t>
            </w:r>
          </w:p>
        </w:tc>
        <w:tc>
          <w:tcPr>
            <w:tcW w:w="0" w:type="auto"/>
            <w:hideMark/>
          </w:tcPr>
          <w:p w14:paraId="28B9FB3F"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less than 3 mm/s</w:t>
            </w:r>
          </w:p>
        </w:tc>
        <w:tc>
          <w:tcPr>
            <w:tcW w:w="0" w:type="auto"/>
            <w:hideMark/>
          </w:tcPr>
          <w:p w14:paraId="01E861D4"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w:t>
            </w:r>
          </w:p>
        </w:tc>
        <w:tc>
          <w:tcPr>
            <w:tcW w:w="0" w:type="auto"/>
            <w:hideMark/>
          </w:tcPr>
          <w:p w14:paraId="4AFDAF7F"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≥6 mm</w:t>
            </w:r>
          </w:p>
        </w:tc>
        <w:tc>
          <w:tcPr>
            <w:tcW w:w="0" w:type="auto"/>
            <w:hideMark/>
          </w:tcPr>
          <w:p w14:paraId="01427ECC"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worse than 16 nm</w:t>
            </w:r>
          </w:p>
        </w:tc>
        <w:tc>
          <w:tcPr>
            <w:tcW w:w="0" w:type="auto"/>
            <w:hideMark/>
          </w:tcPr>
          <w:p w14:paraId="6F07128D"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specified</w:t>
            </w:r>
          </w:p>
        </w:tc>
        <w:tc>
          <w:tcPr>
            <w:tcW w:w="0" w:type="auto"/>
            <w:hideMark/>
          </w:tcPr>
          <w:p w14:paraId="7D5F9F22"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better than ± 2 µm</w:t>
            </w:r>
          </w:p>
        </w:tc>
      </w:tr>
      <w:tr w:rsidR="00683A08" w:rsidRPr="00FA4AC1" w14:paraId="7A8C9284" w14:textId="77777777" w:rsidTr="007C5C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B76546B" w14:textId="77777777" w:rsidR="00683A08" w:rsidRPr="00770FBF" w:rsidRDefault="00683A08" w:rsidP="007C5CC7">
            <w:pPr>
              <w:jc w:val="center"/>
              <w:rPr>
                <w:rFonts w:eastAsia="Times New Roman" w:cs="Times New Roman"/>
                <w:b/>
                <w:bCs/>
                <w:color w:val="000000"/>
                <w:kern w:val="0"/>
                <w:sz w:val="22"/>
                <w:szCs w:val="22"/>
                <w:lang w:val="en-US" w:eastAsia="pl-PL"/>
                <w14:ligatures w14:val="none"/>
              </w:rPr>
            </w:pPr>
            <w:r w:rsidRPr="00770FBF">
              <w:rPr>
                <w:rFonts w:eastAsia="Times New Roman" w:cs="Times New Roman"/>
                <w:b/>
                <w:bCs/>
                <w:color w:val="000000"/>
                <w:kern w:val="0"/>
                <w:sz w:val="22"/>
                <w:szCs w:val="22"/>
                <w:lang w:val="en-US" w:eastAsia="pl-PL"/>
                <w14:ligatures w14:val="none"/>
              </w:rPr>
              <w:t>CX</w:t>
            </w:r>
          </w:p>
        </w:tc>
        <w:tc>
          <w:tcPr>
            <w:tcW w:w="0" w:type="auto"/>
            <w:hideMark/>
          </w:tcPr>
          <w:p w14:paraId="15915867"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≥1 mm/s</w:t>
            </w:r>
          </w:p>
        </w:tc>
        <w:tc>
          <w:tcPr>
            <w:tcW w:w="0" w:type="auto"/>
            <w:hideMark/>
          </w:tcPr>
          <w:p w14:paraId="03F91E7F"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w:t>
            </w:r>
          </w:p>
        </w:tc>
        <w:tc>
          <w:tcPr>
            <w:tcW w:w="0" w:type="auto"/>
            <w:hideMark/>
          </w:tcPr>
          <w:p w14:paraId="07138EA9"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≥6 mm</w:t>
            </w:r>
          </w:p>
        </w:tc>
        <w:tc>
          <w:tcPr>
            <w:tcW w:w="0" w:type="auto"/>
            <w:hideMark/>
          </w:tcPr>
          <w:p w14:paraId="1454966E"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worse than 10 nm</w:t>
            </w:r>
          </w:p>
        </w:tc>
        <w:tc>
          <w:tcPr>
            <w:tcW w:w="0" w:type="auto"/>
            <w:hideMark/>
          </w:tcPr>
          <w:p w14:paraId="0C1BB3CF"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below ± 1µm at 1 mm/s on load</w:t>
            </w:r>
          </w:p>
        </w:tc>
        <w:tc>
          <w:tcPr>
            <w:tcW w:w="0" w:type="auto"/>
            <w:hideMark/>
          </w:tcPr>
          <w:p w14:paraId="1DCDC85E"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better than ±100 nm on load</w:t>
            </w:r>
          </w:p>
        </w:tc>
      </w:tr>
      <w:tr w:rsidR="00683A08" w:rsidRPr="00FA4AC1" w14:paraId="59ECB83F" w14:textId="77777777" w:rsidTr="007C5CC7">
        <w:trPr>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7DDDC005" w14:textId="77777777" w:rsidR="00683A08" w:rsidRPr="00770FBF" w:rsidRDefault="00683A08" w:rsidP="007C5CC7">
            <w:pPr>
              <w:jc w:val="center"/>
              <w:rPr>
                <w:rFonts w:eastAsia="Times New Roman" w:cs="Times New Roman"/>
                <w:b/>
                <w:bCs/>
                <w:color w:val="000000"/>
                <w:kern w:val="0"/>
                <w:sz w:val="22"/>
                <w:szCs w:val="22"/>
                <w:lang w:val="en-US" w:eastAsia="pl-PL"/>
                <w14:ligatures w14:val="none"/>
              </w:rPr>
            </w:pPr>
            <w:r w:rsidRPr="00770FBF">
              <w:rPr>
                <w:rFonts w:eastAsia="Times New Roman" w:cs="Times New Roman"/>
                <w:b/>
                <w:bCs/>
                <w:color w:val="000000"/>
                <w:kern w:val="0"/>
                <w:sz w:val="22"/>
                <w:szCs w:val="22"/>
                <w:lang w:val="en-US" w:eastAsia="pl-PL"/>
                <w14:ligatures w14:val="none"/>
              </w:rPr>
              <w:t>CY</w:t>
            </w:r>
          </w:p>
        </w:tc>
        <w:tc>
          <w:tcPr>
            <w:tcW w:w="0" w:type="auto"/>
            <w:hideMark/>
          </w:tcPr>
          <w:p w14:paraId="3F1C7993"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≥1 mm/s</w:t>
            </w:r>
          </w:p>
        </w:tc>
        <w:tc>
          <w:tcPr>
            <w:tcW w:w="0" w:type="auto"/>
            <w:hideMark/>
          </w:tcPr>
          <w:p w14:paraId="4270DCAF"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w:t>
            </w:r>
          </w:p>
        </w:tc>
        <w:tc>
          <w:tcPr>
            <w:tcW w:w="0" w:type="auto"/>
            <w:hideMark/>
          </w:tcPr>
          <w:p w14:paraId="7ECF0F12"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≥6 mm</w:t>
            </w:r>
          </w:p>
        </w:tc>
        <w:tc>
          <w:tcPr>
            <w:tcW w:w="0" w:type="auto"/>
            <w:hideMark/>
          </w:tcPr>
          <w:p w14:paraId="68821C26"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not worse than 10 nm</w:t>
            </w:r>
          </w:p>
        </w:tc>
        <w:tc>
          <w:tcPr>
            <w:tcW w:w="0" w:type="auto"/>
            <w:hideMark/>
          </w:tcPr>
          <w:p w14:paraId="627ECC52"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below ± 1µm at 1 mm/s on load</w:t>
            </w:r>
          </w:p>
        </w:tc>
        <w:tc>
          <w:tcPr>
            <w:tcW w:w="0" w:type="auto"/>
            <w:hideMark/>
          </w:tcPr>
          <w:p w14:paraId="357162EC"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better than ±100 nm on load</w:t>
            </w:r>
          </w:p>
        </w:tc>
      </w:tr>
    </w:tbl>
    <w:p w14:paraId="696531C9" w14:textId="77777777" w:rsidR="00683A08" w:rsidRPr="00770FBF" w:rsidRDefault="00683A08" w:rsidP="00683A08">
      <w:pPr>
        <w:ind w:firstLine="708"/>
        <w:rPr>
          <w:lang w:val="en-US" w:eastAsia="pl-PL"/>
        </w:rPr>
      </w:pPr>
    </w:p>
    <w:p w14:paraId="6A33D13F" w14:textId="77777777" w:rsidR="00683A08" w:rsidRPr="00770FBF" w:rsidRDefault="00683A08" w:rsidP="00683A08">
      <w:pPr>
        <w:pStyle w:val="Nagwek2"/>
        <w:numPr>
          <w:ilvl w:val="0"/>
          <w:numId w:val="13"/>
        </w:numPr>
        <w:rPr>
          <w:lang w:eastAsia="pl-PL"/>
        </w:rPr>
      </w:pPr>
      <w:bookmarkStart w:id="14" w:name="_Toc194580268"/>
      <w:bookmarkStart w:id="15" w:name="_Toc199507592"/>
      <w:r w:rsidRPr="00770FBF">
        <w:rPr>
          <w:lang w:eastAsia="pl-PL"/>
        </w:rPr>
        <w:t>X-ray beam conditioning</w:t>
      </w:r>
      <w:bookmarkEnd w:id="14"/>
      <w:bookmarkEnd w:id="15"/>
      <w:r w:rsidRPr="00770FBF">
        <w:rPr>
          <w:lang w:eastAsia="pl-PL"/>
        </w:rPr>
        <w:t xml:space="preserve"> </w:t>
      </w:r>
    </w:p>
    <w:p w14:paraId="60EF46EF" w14:textId="77777777" w:rsidR="00683A08" w:rsidRPr="00770FBF" w:rsidRDefault="00683A08" w:rsidP="00683A08">
      <w:pPr>
        <w:ind w:firstLine="360"/>
        <w:rPr>
          <w:lang w:val="en-US"/>
        </w:rPr>
      </w:pPr>
      <w:r w:rsidRPr="00770FBF">
        <w:rPr>
          <w:lang w:val="en-US"/>
        </w:rPr>
        <w:t>The microdiffractometer must be capable of focusing X-rays to a spot size within a range of approximately 10 to 200 microns, offering sufficient flexibility to accommodate a broad spectrum of sample sizes and experimental configurations. The system shall be equipped with a minimum of five (5) beam apertures, each supported by a precise control mechanism that allows for seamless and high-accuracy switching between apertures. The detailed specifications for the aperture diameters, as well as the associated control systems, shall be finalized and agreed upon during the Final Design Review (FDR).</w:t>
      </w:r>
    </w:p>
    <w:p w14:paraId="568131FD" w14:textId="6F2D5B86" w:rsidR="00683A08" w:rsidRPr="00770FBF" w:rsidRDefault="00683A08" w:rsidP="00683A08">
      <w:pPr>
        <w:ind w:firstLine="360"/>
        <w:rPr>
          <w:lang w:val="en-US" w:eastAsia="pl-PL"/>
        </w:rPr>
      </w:pPr>
      <w:r w:rsidRPr="00770FBF">
        <w:rPr>
          <w:lang w:val="en-US"/>
        </w:rPr>
        <w:t xml:space="preserve">The diffractometer </w:t>
      </w:r>
      <w:r w:rsidR="00FE108C">
        <w:rPr>
          <w:lang w:val="en-US"/>
        </w:rPr>
        <w:t>must</w:t>
      </w:r>
      <w:r w:rsidR="00FE108C" w:rsidRPr="00770FBF">
        <w:rPr>
          <w:lang w:val="en-US"/>
        </w:rPr>
        <w:t xml:space="preserve"> </w:t>
      </w:r>
      <w:r w:rsidRPr="00770FBF">
        <w:rPr>
          <w:lang w:val="en-US"/>
        </w:rPr>
        <w:t xml:space="preserve">be equipped with a </w:t>
      </w:r>
      <w:r w:rsidRPr="0040132B">
        <w:rPr>
          <w:rStyle w:val="Pogrubienie"/>
          <w:b w:val="0"/>
          <w:bCs w:val="0"/>
          <w:lang w:val="en-US"/>
        </w:rPr>
        <w:t>movable capillary system</w:t>
      </w:r>
      <w:r w:rsidRPr="00770FBF">
        <w:rPr>
          <w:lang w:val="en-US"/>
        </w:rPr>
        <w:t>, complete with a support blade and scatter guard, ensuring secure and stable positioning of samples while minimizing background noise from scattered radiation.</w:t>
      </w:r>
      <w:r>
        <w:rPr>
          <w:lang w:val="en-US"/>
        </w:rPr>
        <w:t xml:space="preserve"> It is expected that at least one spare capillary will be included. </w:t>
      </w:r>
    </w:p>
    <w:p w14:paraId="356797B8" w14:textId="77777777" w:rsidR="00683A08" w:rsidRPr="00770FBF" w:rsidRDefault="00683A08" w:rsidP="00683A08">
      <w:pPr>
        <w:pStyle w:val="NormalnyWeb"/>
        <w:spacing w:line="360" w:lineRule="auto"/>
        <w:ind w:firstLine="360"/>
        <w:rPr>
          <w:lang w:val="en-US"/>
        </w:rPr>
      </w:pPr>
      <w:r w:rsidRPr="00770FBF">
        <w:rPr>
          <w:lang w:val="en-US"/>
        </w:rPr>
        <w:lastRenderedPageBreak/>
        <w:t xml:space="preserve">Additionally, the diffractometer must include a </w:t>
      </w:r>
      <w:r w:rsidRPr="0040132B">
        <w:rPr>
          <w:rStyle w:val="Pogrubienie"/>
          <w:rFonts w:eastAsiaTheme="majorEastAsia"/>
          <w:b w:val="0"/>
          <w:bCs w:val="0"/>
          <w:lang w:val="en-US"/>
        </w:rPr>
        <w:t>scintillator unit</w:t>
      </w:r>
      <w:r w:rsidRPr="00770FBF">
        <w:rPr>
          <w:lang w:val="en-US"/>
        </w:rPr>
        <w:t xml:space="preserve"> mounted on an XYZ table. The X-axis of the scintillator unit should be mechanically coupled with the X-axis of the beamstop to ensure precise alignment and movement. The scintillator unit shall comprise a </w:t>
      </w:r>
      <w:r w:rsidRPr="0040132B">
        <w:rPr>
          <w:rStyle w:val="Pogrubienie"/>
          <w:rFonts w:eastAsiaTheme="majorEastAsia"/>
          <w:b w:val="0"/>
          <w:bCs w:val="0"/>
          <w:lang w:val="en-US"/>
        </w:rPr>
        <w:t>CWO crystal</w:t>
      </w:r>
      <w:r w:rsidRPr="0040132B">
        <w:rPr>
          <w:b/>
          <w:bCs/>
          <w:lang w:val="en-US"/>
        </w:rPr>
        <w:t xml:space="preserve"> and a </w:t>
      </w:r>
      <w:r w:rsidRPr="0040132B">
        <w:rPr>
          <w:rStyle w:val="Pogrubienie"/>
          <w:rFonts w:eastAsiaTheme="majorEastAsia"/>
          <w:b w:val="0"/>
          <w:bCs w:val="0"/>
          <w:lang w:val="en-US"/>
        </w:rPr>
        <w:t>pin diode</w:t>
      </w:r>
      <w:r w:rsidRPr="0040132B">
        <w:rPr>
          <w:b/>
          <w:bCs/>
          <w:lang w:val="en-US"/>
        </w:rPr>
        <w:t xml:space="preserve"> for</w:t>
      </w:r>
      <w:r w:rsidRPr="00770FBF">
        <w:rPr>
          <w:lang w:val="en-US"/>
        </w:rPr>
        <w:t xml:space="preserve"> optimal X-ray light conversion and signal detection.</w:t>
      </w:r>
    </w:p>
    <w:p w14:paraId="62343B65" w14:textId="77777777" w:rsidR="00683A08" w:rsidRPr="00770FBF" w:rsidRDefault="00683A08" w:rsidP="00683A08">
      <w:pPr>
        <w:pStyle w:val="NormalnyWeb"/>
        <w:spacing w:line="360" w:lineRule="auto"/>
        <w:ind w:firstLine="360"/>
        <w:rPr>
          <w:lang w:val="en-US"/>
        </w:rPr>
      </w:pPr>
      <w:r w:rsidRPr="0040132B">
        <w:rPr>
          <w:lang w:val="en-US"/>
        </w:rPr>
        <w:t xml:space="preserve">The </w:t>
      </w:r>
      <w:r w:rsidRPr="0040132B">
        <w:rPr>
          <w:rStyle w:val="Pogrubienie"/>
          <w:rFonts w:eastAsiaTheme="majorEastAsia"/>
          <w:lang w:val="en-US"/>
        </w:rPr>
        <w:t>beamstop unit</w:t>
      </w:r>
      <w:r w:rsidRPr="0040132B">
        <w:rPr>
          <w:lang w:val="en-US"/>
        </w:rPr>
        <w:t xml:space="preserve"> must be motorized</w:t>
      </w:r>
      <w:r w:rsidRPr="00770FBF">
        <w:rPr>
          <w:lang w:val="en-US"/>
        </w:rPr>
        <w:t xml:space="preserve">, offering precise control for positioning and adjustments during data collection. </w:t>
      </w:r>
      <w:r>
        <w:rPr>
          <w:lang w:val="en-US"/>
        </w:rPr>
        <w:t xml:space="preserve">It is expected that two different beamstops will be included in the offer. </w:t>
      </w:r>
    </w:p>
    <w:p w14:paraId="08D76B76" w14:textId="77777777" w:rsidR="00683A08" w:rsidRPr="00770FBF" w:rsidRDefault="00683A08" w:rsidP="00683A08">
      <w:pPr>
        <w:pStyle w:val="NormalnyWeb"/>
        <w:spacing w:line="360" w:lineRule="auto"/>
        <w:ind w:firstLine="360"/>
        <w:rPr>
          <w:lang w:val="en-US"/>
        </w:rPr>
      </w:pPr>
      <w:r w:rsidRPr="00770FBF">
        <w:rPr>
          <w:lang w:val="en-US"/>
        </w:rPr>
        <w:t>The detailed requirements for all beam conditioning unit movements, including the capillary, scintillator, and beamstop, are summarized in Table 3.</w:t>
      </w:r>
    </w:p>
    <w:p w14:paraId="4B423235" w14:textId="77777777" w:rsidR="00683A08" w:rsidRPr="00115775" w:rsidRDefault="00683A08" w:rsidP="00115775">
      <w:pPr>
        <w:pStyle w:val="Legenda"/>
        <w:keepNext/>
        <w:spacing w:line="360" w:lineRule="auto"/>
        <w:jc w:val="center"/>
        <w:rPr>
          <w:sz w:val="24"/>
          <w:szCs w:val="24"/>
          <w:lang w:val="en-US"/>
        </w:rPr>
      </w:pPr>
      <w:r w:rsidRPr="00115775">
        <w:rPr>
          <w:sz w:val="24"/>
          <w:szCs w:val="24"/>
          <w:lang w:val="en-US"/>
        </w:rPr>
        <w:t xml:space="preserve">Table </w:t>
      </w:r>
      <w:r w:rsidRPr="00115775">
        <w:rPr>
          <w:sz w:val="24"/>
          <w:szCs w:val="24"/>
          <w:lang w:val="en-US"/>
        </w:rPr>
        <w:fldChar w:fldCharType="begin"/>
      </w:r>
      <w:r w:rsidRPr="00115775">
        <w:rPr>
          <w:sz w:val="24"/>
          <w:szCs w:val="24"/>
          <w:lang w:val="en-US"/>
        </w:rPr>
        <w:instrText xml:space="preserve"> SEQ Table \* ARABIC </w:instrText>
      </w:r>
      <w:r w:rsidRPr="00115775">
        <w:rPr>
          <w:sz w:val="24"/>
          <w:szCs w:val="24"/>
          <w:lang w:val="en-US"/>
        </w:rPr>
        <w:fldChar w:fldCharType="separate"/>
      </w:r>
      <w:r w:rsidRPr="00115775">
        <w:rPr>
          <w:noProof/>
          <w:sz w:val="24"/>
          <w:szCs w:val="24"/>
          <w:lang w:val="en-US"/>
        </w:rPr>
        <w:t>3</w:t>
      </w:r>
      <w:r w:rsidRPr="00115775">
        <w:rPr>
          <w:sz w:val="24"/>
          <w:szCs w:val="24"/>
          <w:lang w:val="en-US"/>
        </w:rPr>
        <w:fldChar w:fldCharType="end"/>
      </w:r>
      <w:r w:rsidRPr="00115775">
        <w:rPr>
          <w:sz w:val="24"/>
          <w:szCs w:val="24"/>
          <w:lang w:val="en-US"/>
        </w:rPr>
        <w:t>. Minimal requirements for beam conditioning unit movements.</w:t>
      </w:r>
    </w:p>
    <w:tbl>
      <w:tblPr>
        <w:tblStyle w:val="Tabelasiatki7kolorow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933"/>
        <w:gridCol w:w="927"/>
        <w:gridCol w:w="983"/>
        <w:gridCol w:w="1703"/>
        <w:gridCol w:w="1699"/>
        <w:gridCol w:w="1402"/>
      </w:tblGrid>
      <w:tr w:rsidR="00683A08" w:rsidRPr="00770FBF" w14:paraId="536F19CF" w14:textId="77777777" w:rsidTr="007C5CC7">
        <w:trPr>
          <w:cnfStyle w:val="100000000000" w:firstRow="1" w:lastRow="0" w:firstColumn="0" w:lastColumn="0" w:oddVBand="0" w:evenVBand="0" w:oddHBand="0" w:evenHBand="0" w:firstRowFirstColumn="0" w:firstRowLastColumn="0" w:lastRowFirstColumn="0" w:lastRowLastColumn="0"/>
          <w:trHeight w:val="567"/>
        </w:trPr>
        <w:tc>
          <w:tcPr>
            <w:cnfStyle w:val="001000000100" w:firstRow="0" w:lastRow="0" w:firstColumn="1" w:lastColumn="0" w:oddVBand="0" w:evenVBand="0" w:oddHBand="0" w:evenHBand="0" w:firstRowFirstColumn="1" w:firstRowLastColumn="0" w:lastRowFirstColumn="0" w:lastRowLastColumn="0"/>
            <w:tcW w:w="0" w:type="auto"/>
            <w:tcBorders>
              <w:top w:val="none" w:sz="0" w:space="0" w:color="auto"/>
              <w:left w:val="none" w:sz="0" w:space="0" w:color="auto"/>
              <w:bottom w:val="none" w:sz="0" w:space="0" w:color="auto"/>
              <w:right w:val="none" w:sz="0" w:space="0" w:color="auto"/>
            </w:tcBorders>
            <w:vAlign w:val="center"/>
            <w:hideMark/>
          </w:tcPr>
          <w:p w14:paraId="458CF8C4" w14:textId="77777777" w:rsidR="00683A08" w:rsidRPr="00770FBF" w:rsidRDefault="00683A08" w:rsidP="007C5CC7">
            <w:pPr>
              <w:jc w:val="center"/>
              <w:rPr>
                <w:rFonts w:ascii="Aptos" w:eastAsia="Times New Roman" w:hAnsi="Aptos" w:cs="Times New Roman"/>
                <w:color w:val="000000"/>
                <w:kern w:val="0"/>
                <w:sz w:val="22"/>
                <w:szCs w:val="22"/>
                <w:lang w:val="en-US" w:eastAsia="pl-PL"/>
                <w14:ligatures w14:val="none"/>
              </w:rPr>
            </w:pPr>
          </w:p>
        </w:tc>
        <w:tc>
          <w:tcPr>
            <w:tcW w:w="0" w:type="auto"/>
            <w:tcBorders>
              <w:top w:val="none" w:sz="0" w:space="0" w:color="auto"/>
              <w:left w:val="none" w:sz="0" w:space="0" w:color="auto"/>
              <w:right w:val="none" w:sz="0" w:space="0" w:color="auto"/>
            </w:tcBorders>
            <w:vAlign w:val="center"/>
            <w:hideMark/>
          </w:tcPr>
          <w:p w14:paraId="4C30450E"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Motor type</w:t>
            </w:r>
          </w:p>
        </w:tc>
        <w:tc>
          <w:tcPr>
            <w:tcW w:w="0" w:type="auto"/>
            <w:tcBorders>
              <w:top w:val="none" w:sz="0" w:space="0" w:color="auto"/>
              <w:left w:val="none" w:sz="0" w:space="0" w:color="auto"/>
              <w:right w:val="none" w:sz="0" w:space="0" w:color="auto"/>
            </w:tcBorders>
            <w:vAlign w:val="center"/>
            <w:hideMark/>
          </w:tcPr>
          <w:p w14:paraId="72D5F95B"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Max Speed</w:t>
            </w:r>
          </w:p>
        </w:tc>
        <w:tc>
          <w:tcPr>
            <w:tcW w:w="0" w:type="auto"/>
            <w:tcBorders>
              <w:top w:val="none" w:sz="0" w:space="0" w:color="auto"/>
              <w:left w:val="none" w:sz="0" w:space="0" w:color="auto"/>
              <w:right w:val="none" w:sz="0" w:space="0" w:color="auto"/>
            </w:tcBorders>
            <w:vAlign w:val="center"/>
            <w:hideMark/>
          </w:tcPr>
          <w:p w14:paraId="15CC1F02"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Range</w:t>
            </w:r>
          </w:p>
        </w:tc>
        <w:tc>
          <w:tcPr>
            <w:tcW w:w="0" w:type="auto"/>
            <w:tcBorders>
              <w:top w:val="none" w:sz="0" w:space="0" w:color="auto"/>
              <w:left w:val="none" w:sz="0" w:space="0" w:color="auto"/>
              <w:right w:val="none" w:sz="0" w:space="0" w:color="auto"/>
            </w:tcBorders>
            <w:vAlign w:val="center"/>
            <w:hideMark/>
          </w:tcPr>
          <w:p w14:paraId="52CE4872"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Encoder type</w:t>
            </w:r>
          </w:p>
        </w:tc>
        <w:tc>
          <w:tcPr>
            <w:tcW w:w="0" w:type="auto"/>
            <w:tcBorders>
              <w:top w:val="none" w:sz="0" w:space="0" w:color="auto"/>
              <w:left w:val="none" w:sz="0" w:space="0" w:color="auto"/>
              <w:right w:val="none" w:sz="0" w:space="0" w:color="auto"/>
            </w:tcBorders>
            <w:vAlign w:val="center"/>
            <w:hideMark/>
          </w:tcPr>
          <w:p w14:paraId="4EBE2A82"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Resolution</w:t>
            </w:r>
          </w:p>
        </w:tc>
        <w:tc>
          <w:tcPr>
            <w:tcW w:w="0" w:type="auto"/>
            <w:tcBorders>
              <w:top w:val="none" w:sz="0" w:space="0" w:color="auto"/>
              <w:left w:val="none" w:sz="0" w:space="0" w:color="auto"/>
              <w:right w:val="none" w:sz="0" w:space="0" w:color="auto"/>
            </w:tcBorders>
          </w:tcPr>
          <w:p w14:paraId="7071A90C" w14:textId="77777777" w:rsidR="00683A08" w:rsidRPr="00770FBF" w:rsidRDefault="00683A08" w:rsidP="007C5CC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i/>
                <w:iCs/>
                <w:color w:val="000000"/>
                <w:kern w:val="0"/>
                <w:sz w:val="22"/>
                <w:szCs w:val="22"/>
                <w:lang w:val="en-US" w:eastAsia="pl-PL"/>
                <w14:ligatures w14:val="none"/>
              </w:rPr>
            </w:pPr>
            <w:r w:rsidRPr="00770FBF">
              <w:rPr>
                <w:rFonts w:eastAsia="Times New Roman" w:cs="Times New Roman"/>
                <w:i/>
                <w:iCs/>
                <w:color w:val="000000"/>
                <w:kern w:val="0"/>
                <w:sz w:val="22"/>
                <w:szCs w:val="22"/>
                <w:lang w:val="en-US" w:eastAsia="pl-PL"/>
                <w14:ligatures w14:val="none"/>
              </w:rPr>
              <w:t>Repeatability</w:t>
            </w:r>
          </w:p>
        </w:tc>
      </w:tr>
      <w:tr w:rsidR="00683A08" w:rsidRPr="00770FBF" w14:paraId="4EF13BEC" w14:textId="77777777" w:rsidTr="007C5C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683DFC21" w14:textId="77777777" w:rsidR="00683A08" w:rsidRPr="00770FBF" w:rsidRDefault="00683A08" w:rsidP="007C5CC7">
            <w:pPr>
              <w:jc w:val="center"/>
              <w:rPr>
                <w:rFonts w:eastAsia="Times New Roman" w:cs="Times New Roman"/>
                <w:b/>
                <w:bCs/>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Apperture Y (side)</w:t>
            </w:r>
          </w:p>
        </w:tc>
        <w:tc>
          <w:tcPr>
            <w:tcW w:w="0" w:type="auto"/>
          </w:tcPr>
          <w:p w14:paraId="2CFE6757"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DC</w:t>
            </w:r>
          </w:p>
        </w:tc>
        <w:tc>
          <w:tcPr>
            <w:tcW w:w="0" w:type="auto"/>
          </w:tcPr>
          <w:p w14:paraId="36CF36EB"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mm/s</w:t>
            </w:r>
          </w:p>
        </w:tc>
        <w:tc>
          <w:tcPr>
            <w:tcW w:w="0" w:type="auto"/>
          </w:tcPr>
          <w:p w14:paraId="467AA5B2"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4 mm</w:t>
            </w:r>
          </w:p>
        </w:tc>
        <w:tc>
          <w:tcPr>
            <w:tcW w:w="0" w:type="auto"/>
          </w:tcPr>
          <w:p w14:paraId="6A336CB6"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Circular encoder on motor unit</w:t>
            </w:r>
          </w:p>
        </w:tc>
        <w:tc>
          <w:tcPr>
            <w:tcW w:w="0" w:type="auto"/>
          </w:tcPr>
          <w:p w14:paraId="51DE7428"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16 nm (60620.8 cts/mm)</w:t>
            </w:r>
          </w:p>
        </w:tc>
        <w:tc>
          <w:tcPr>
            <w:tcW w:w="0" w:type="auto"/>
          </w:tcPr>
          <w:p w14:paraId="5E1B0DE7"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±1 µm</w:t>
            </w:r>
          </w:p>
        </w:tc>
      </w:tr>
      <w:tr w:rsidR="00683A08" w:rsidRPr="00770FBF" w14:paraId="72D2DABD" w14:textId="77777777" w:rsidTr="007C5CC7">
        <w:trPr>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1794A0E2" w14:textId="77777777" w:rsidR="00683A08" w:rsidRPr="00770FBF" w:rsidRDefault="00683A08" w:rsidP="007C5CC7">
            <w:pPr>
              <w:jc w:val="center"/>
              <w:rPr>
                <w:rFonts w:eastAsia="Times New Roman" w:cs="Times New Roman"/>
                <w:b/>
                <w:bCs/>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Apperture Z (in-out)</w:t>
            </w:r>
          </w:p>
        </w:tc>
        <w:tc>
          <w:tcPr>
            <w:tcW w:w="0" w:type="auto"/>
          </w:tcPr>
          <w:p w14:paraId="3BECB0E7"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DC</w:t>
            </w:r>
          </w:p>
        </w:tc>
        <w:tc>
          <w:tcPr>
            <w:tcW w:w="0" w:type="auto"/>
          </w:tcPr>
          <w:p w14:paraId="024B6D9B"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4 mm/s</w:t>
            </w:r>
          </w:p>
        </w:tc>
        <w:tc>
          <w:tcPr>
            <w:tcW w:w="0" w:type="auto"/>
          </w:tcPr>
          <w:p w14:paraId="22B88510"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≥97 mm</w:t>
            </w:r>
          </w:p>
        </w:tc>
        <w:tc>
          <w:tcPr>
            <w:tcW w:w="0" w:type="auto"/>
          </w:tcPr>
          <w:p w14:paraId="1BD581AC"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Circular encoder on motor unit</w:t>
            </w:r>
          </w:p>
        </w:tc>
        <w:tc>
          <w:tcPr>
            <w:tcW w:w="0" w:type="auto"/>
          </w:tcPr>
          <w:p w14:paraId="68DC5935"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≥45 nm (22300 cts/mm)</w:t>
            </w:r>
          </w:p>
        </w:tc>
        <w:tc>
          <w:tcPr>
            <w:tcW w:w="0" w:type="auto"/>
          </w:tcPr>
          <w:p w14:paraId="68572928"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±1 µm</w:t>
            </w:r>
          </w:p>
        </w:tc>
      </w:tr>
      <w:tr w:rsidR="00683A08" w:rsidRPr="00770FBF" w14:paraId="0FCC663B" w14:textId="77777777" w:rsidTr="007C5C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1E1E847D" w14:textId="77777777" w:rsidR="00683A08" w:rsidRPr="00770FBF" w:rsidRDefault="00683A08" w:rsidP="007C5CC7">
            <w:pPr>
              <w:jc w:val="center"/>
              <w:rPr>
                <w:rFonts w:eastAsia="Times New Roman" w:cs="Times New Roman"/>
                <w:b/>
                <w:bCs/>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Capillary Y (side)</w:t>
            </w:r>
          </w:p>
        </w:tc>
        <w:tc>
          <w:tcPr>
            <w:tcW w:w="0" w:type="auto"/>
          </w:tcPr>
          <w:p w14:paraId="13CD84C2"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DC</w:t>
            </w:r>
          </w:p>
        </w:tc>
        <w:tc>
          <w:tcPr>
            <w:tcW w:w="0" w:type="auto"/>
          </w:tcPr>
          <w:p w14:paraId="4E6AB5AE"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mm/s</w:t>
            </w:r>
          </w:p>
        </w:tc>
        <w:tc>
          <w:tcPr>
            <w:tcW w:w="0" w:type="auto"/>
          </w:tcPr>
          <w:p w14:paraId="6EC8BEAE"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mm</w:t>
            </w:r>
          </w:p>
        </w:tc>
        <w:tc>
          <w:tcPr>
            <w:tcW w:w="0" w:type="auto"/>
          </w:tcPr>
          <w:p w14:paraId="26481DB0"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Circular encoder on motor unit</w:t>
            </w:r>
          </w:p>
        </w:tc>
        <w:tc>
          <w:tcPr>
            <w:tcW w:w="0" w:type="auto"/>
          </w:tcPr>
          <w:p w14:paraId="37A7A1CF"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16 nm (60620.8 cts/mm)</w:t>
            </w:r>
          </w:p>
        </w:tc>
        <w:tc>
          <w:tcPr>
            <w:tcW w:w="0" w:type="auto"/>
          </w:tcPr>
          <w:p w14:paraId="34F756DF"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µm</w:t>
            </w:r>
          </w:p>
        </w:tc>
      </w:tr>
      <w:tr w:rsidR="00683A08" w:rsidRPr="00770FBF" w14:paraId="0BD7D547" w14:textId="77777777" w:rsidTr="007C5CC7">
        <w:trPr>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2F7AA845" w14:textId="77777777" w:rsidR="00683A08" w:rsidRPr="00770FBF" w:rsidRDefault="00683A08" w:rsidP="007C5CC7">
            <w:pPr>
              <w:jc w:val="center"/>
              <w:rPr>
                <w:rFonts w:eastAsia="Times New Roman" w:cs="Times New Roman"/>
                <w:b/>
                <w:bCs/>
                <w:i w:val="0"/>
                <w:iCs w:val="0"/>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Capillary Z</w:t>
            </w:r>
          </w:p>
          <w:p w14:paraId="0F9639CF" w14:textId="77777777" w:rsidR="00683A08" w:rsidRPr="00770FBF" w:rsidRDefault="00683A08" w:rsidP="007C5CC7">
            <w:pPr>
              <w:jc w:val="center"/>
              <w:rPr>
                <w:rFonts w:eastAsia="Times New Roman" w:cs="Times New Roman"/>
                <w:b/>
                <w:bCs/>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(in-out)</w:t>
            </w:r>
          </w:p>
        </w:tc>
        <w:tc>
          <w:tcPr>
            <w:tcW w:w="0" w:type="auto"/>
          </w:tcPr>
          <w:p w14:paraId="11346C68"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DC</w:t>
            </w:r>
          </w:p>
        </w:tc>
        <w:tc>
          <w:tcPr>
            <w:tcW w:w="0" w:type="auto"/>
          </w:tcPr>
          <w:p w14:paraId="232F79B8"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20 mm/s</w:t>
            </w:r>
          </w:p>
        </w:tc>
        <w:tc>
          <w:tcPr>
            <w:tcW w:w="0" w:type="auto"/>
          </w:tcPr>
          <w:p w14:paraId="6F5D5A90"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≥97 mm</w:t>
            </w:r>
          </w:p>
        </w:tc>
        <w:tc>
          <w:tcPr>
            <w:tcW w:w="0" w:type="auto"/>
          </w:tcPr>
          <w:p w14:paraId="6B683488"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Circular encoder on motor unit</w:t>
            </w:r>
          </w:p>
        </w:tc>
        <w:tc>
          <w:tcPr>
            <w:tcW w:w="0" w:type="auto"/>
          </w:tcPr>
          <w:p w14:paraId="17B426BE"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90 nm (11150 cts/mm)</w:t>
            </w:r>
          </w:p>
        </w:tc>
        <w:tc>
          <w:tcPr>
            <w:tcW w:w="0" w:type="auto"/>
          </w:tcPr>
          <w:p w14:paraId="753EF8B3"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µm</w:t>
            </w:r>
          </w:p>
        </w:tc>
      </w:tr>
      <w:tr w:rsidR="00683A08" w:rsidRPr="00770FBF" w14:paraId="4A5880FF" w14:textId="77777777" w:rsidTr="007C5C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721DCE25" w14:textId="77777777" w:rsidR="00683A08" w:rsidRPr="00770FBF" w:rsidRDefault="00683A08" w:rsidP="007C5CC7">
            <w:pPr>
              <w:jc w:val="center"/>
              <w:rPr>
                <w:rFonts w:eastAsia="Times New Roman" w:cs="Times New Roman"/>
                <w:b/>
                <w:bCs/>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Scintillator (in-out)</w:t>
            </w:r>
          </w:p>
        </w:tc>
        <w:tc>
          <w:tcPr>
            <w:tcW w:w="0" w:type="auto"/>
          </w:tcPr>
          <w:p w14:paraId="7C7A5AF9"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DC</w:t>
            </w:r>
          </w:p>
        </w:tc>
        <w:tc>
          <w:tcPr>
            <w:tcW w:w="0" w:type="auto"/>
          </w:tcPr>
          <w:p w14:paraId="7D00F445"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20 mm/s</w:t>
            </w:r>
          </w:p>
        </w:tc>
        <w:tc>
          <w:tcPr>
            <w:tcW w:w="0" w:type="auto"/>
          </w:tcPr>
          <w:p w14:paraId="28A7F7F9"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≥97 mm</w:t>
            </w:r>
          </w:p>
        </w:tc>
        <w:tc>
          <w:tcPr>
            <w:tcW w:w="0" w:type="auto"/>
          </w:tcPr>
          <w:p w14:paraId="4EE0DD81"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Circular encoder on motor unit</w:t>
            </w:r>
          </w:p>
        </w:tc>
        <w:tc>
          <w:tcPr>
            <w:tcW w:w="0" w:type="auto"/>
          </w:tcPr>
          <w:p w14:paraId="239E73BC"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90 nm (11150 cts/mm)</w:t>
            </w:r>
          </w:p>
        </w:tc>
        <w:tc>
          <w:tcPr>
            <w:tcW w:w="0" w:type="auto"/>
          </w:tcPr>
          <w:p w14:paraId="10CAACEC"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µm</w:t>
            </w:r>
          </w:p>
        </w:tc>
      </w:tr>
      <w:tr w:rsidR="00683A08" w:rsidRPr="00770FBF" w14:paraId="0580D258" w14:textId="77777777" w:rsidTr="007C5CC7">
        <w:trPr>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hideMark/>
          </w:tcPr>
          <w:p w14:paraId="4059975F" w14:textId="77777777" w:rsidR="00683A08" w:rsidRPr="00770FBF" w:rsidRDefault="00683A08" w:rsidP="007C5CC7">
            <w:pPr>
              <w:jc w:val="center"/>
              <w:rPr>
                <w:rFonts w:eastAsia="Times New Roman" w:cs="Times New Roman"/>
                <w:b/>
                <w:bCs/>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Beamstop X</w:t>
            </w:r>
            <w:r w:rsidRPr="00770FBF">
              <w:rPr>
                <w:rFonts w:eastAsia="Times New Roman" w:cs="Times New Roman"/>
                <w:b/>
                <w:bCs/>
                <w:color w:val="000000"/>
                <w:kern w:val="0"/>
                <w:sz w:val="20"/>
                <w:szCs w:val="20"/>
                <w:lang w:val="en-US" w:eastAsia="pl-PL"/>
                <w14:ligatures w14:val="none"/>
              </w:rPr>
              <w:br/>
              <w:t>(along X-rays)</w:t>
            </w:r>
          </w:p>
        </w:tc>
        <w:tc>
          <w:tcPr>
            <w:tcW w:w="0" w:type="auto"/>
          </w:tcPr>
          <w:p w14:paraId="4810DE18"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DC</w:t>
            </w:r>
          </w:p>
        </w:tc>
        <w:tc>
          <w:tcPr>
            <w:tcW w:w="0" w:type="auto"/>
          </w:tcPr>
          <w:p w14:paraId="4A251C9B"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20 mm/s</w:t>
            </w:r>
          </w:p>
        </w:tc>
        <w:tc>
          <w:tcPr>
            <w:tcW w:w="0" w:type="auto"/>
          </w:tcPr>
          <w:p w14:paraId="0CC730A4"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≥52 ±1  mm</w:t>
            </w:r>
          </w:p>
        </w:tc>
        <w:tc>
          <w:tcPr>
            <w:tcW w:w="0" w:type="auto"/>
          </w:tcPr>
          <w:p w14:paraId="50A1BE3F"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w:t>
            </w:r>
          </w:p>
        </w:tc>
        <w:tc>
          <w:tcPr>
            <w:tcW w:w="0" w:type="auto"/>
          </w:tcPr>
          <w:p w14:paraId="680C5957"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90 nm (11150 cts/mm)</w:t>
            </w:r>
          </w:p>
        </w:tc>
        <w:tc>
          <w:tcPr>
            <w:tcW w:w="0" w:type="auto"/>
          </w:tcPr>
          <w:p w14:paraId="3CCC525F"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µm</w:t>
            </w:r>
          </w:p>
        </w:tc>
      </w:tr>
      <w:tr w:rsidR="00683A08" w:rsidRPr="00770FBF" w14:paraId="3AD1F0D5" w14:textId="77777777" w:rsidTr="007C5CC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tcPr>
          <w:p w14:paraId="3A12268D" w14:textId="77777777" w:rsidR="00683A08" w:rsidRPr="00770FBF" w:rsidRDefault="00683A08" w:rsidP="007C5CC7">
            <w:pPr>
              <w:jc w:val="center"/>
              <w:rPr>
                <w:rFonts w:eastAsia="Times New Roman" w:cs="Times New Roman"/>
                <w:b/>
                <w:bCs/>
                <w:i w:val="0"/>
                <w:iCs w:val="0"/>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Beamstop Y (side)</w:t>
            </w:r>
          </w:p>
        </w:tc>
        <w:tc>
          <w:tcPr>
            <w:tcW w:w="0" w:type="auto"/>
          </w:tcPr>
          <w:p w14:paraId="655DCBFB"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DC</w:t>
            </w:r>
          </w:p>
        </w:tc>
        <w:tc>
          <w:tcPr>
            <w:tcW w:w="0" w:type="auto"/>
          </w:tcPr>
          <w:p w14:paraId="5A675770"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mm/s</w:t>
            </w:r>
          </w:p>
        </w:tc>
        <w:tc>
          <w:tcPr>
            <w:tcW w:w="0" w:type="auto"/>
          </w:tcPr>
          <w:p w14:paraId="49925C2C"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4 mm</w:t>
            </w:r>
          </w:p>
        </w:tc>
        <w:tc>
          <w:tcPr>
            <w:tcW w:w="0" w:type="auto"/>
          </w:tcPr>
          <w:p w14:paraId="0EE6E0D3"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w:t>
            </w:r>
          </w:p>
        </w:tc>
        <w:tc>
          <w:tcPr>
            <w:tcW w:w="0" w:type="auto"/>
          </w:tcPr>
          <w:p w14:paraId="4A4BB427"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16 nm (60620.8 cts/mm)</w:t>
            </w:r>
          </w:p>
        </w:tc>
        <w:tc>
          <w:tcPr>
            <w:tcW w:w="0" w:type="auto"/>
          </w:tcPr>
          <w:p w14:paraId="554B0A2B" w14:textId="77777777" w:rsidR="00683A08" w:rsidRPr="00770FBF" w:rsidRDefault="00683A08" w:rsidP="007C5CC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µm</w:t>
            </w:r>
          </w:p>
        </w:tc>
      </w:tr>
      <w:tr w:rsidR="00683A08" w:rsidRPr="00770FBF" w14:paraId="2CC7108A" w14:textId="77777777" w:rsidTr="007C5CC7">
        <w:trPr>
          <w:trHeight w:val="567"/>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tcBorders>
          </w:tcPr>
          <w:p w14:paraId="2310F3B9" w14:textId="77777777" w:rsidR="00683A08" w:rsidRPr="00770FBF" w:rsidRDefault="00683A08" w:rsidP="007C5CC7">
            <w:pPr>
              <w:jc w:val="center"/>
              <w:rPr>
                <w:rFonts w:eastAsia="Times New Roman" w:cs="Times New Roman"/>
                <w:b/>
                <w:bCs/>
                <w:color w:val="000000"/>
                <w:kern w:val="0"/>
                <w:sz w:val="20"/>
                <w:szCs w:val="20"/>
                <w:lang w:val="en-US" w:eastAsia="pl-PL"/>
                <w14:ligatures w14:val="none"/>
              </w:rPr>
            </w:pPr>
            <w:r w:rsidRPr="00770FBF">
              <w:rPr>
                <w:rFonts w:eastAsia="Times New Roman" w:cs="Times New Roman"/>
                <w:b/>
                <w:bCs/>
                <w:color w:val="000000"/>
                <w:kern w:val="0"/>
                <w:sz w:val="20"/>
                <w:szCs w:val="20"/>
                <w:lang w:val="en-US" w:eastAsia="pl-PL"/>
                <w14:ligatures w14:val="none"/>
              </w:rPr>
              <w:t>Beamstop Z (in-out)</w:t>
            </w:r>
          </w:p>
        </w:tc>
        <w:tc>
          <w:tcPr>
            <w:tcW w:w="0" w:type="auto"/>
          </w:tcPr>
          <w:p w14:paraId="5C62B99A"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DC</w:t>
            </w:r>
          </w:p>
        </w:tc>
        <w:tc>
          <w:tcPr>
            <w:tcW w:w="0" w:type="auto"/>
          </w:tcPr>
          <w:p w14:paraId="52772807"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20 mm/s</w:t>
            </w:r>
          </w:p>
        </w:tc>
        <w:tc>
          <w:tcPr>
            <w:tcW w:w="0" w:type="auto"/>
          </w:tcPr>
          <w:p w14:paraId="404781A4"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≥97 mm</w:t>
            </w:r>
          </w:p>
        </w:tc>
        <w:tc>
          <w:tcPr>
            <w:tcW w:w="0" w:type="auto"/>
          </w:tcPr>
          <w:p w14:paraId="1245360A"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w:t>
            </w:r>
          </w:p>
        </w:tc>
        <w:tc>
          <w:tcPr>
            <w:tcW w:w="0" w:type="auto"/>
          </w:tcPr>
          <w:p w14:paraId="0436DFB9"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≥45 nm (22300 cts/mm)</w:t>
            </w:r>
          </w:p>
        </w:tc>
        <w:tc>
          <w:tcPr>
            <w:tcW w:w="0" w:type="auto"/>
          </w:tcPr>
          <w:p w14:paraId="483177A0" w14:textId="77777777" w:rsidR="00683A08" w:rsidRPr="00770FBF" w:rsidRDefault="00683A08" w:rsidP="007C5CC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sz w:val="22"/>
                <w:szCs w:val="22"/>
                <w:lang w:val="en-US" w:eastAsia="pl-PL"/>
                <w14:ligatures w14:val="none"/>
              </w:rPr>
            </w:pPr>
            <w:r w:rsidRPr="00770FBF">
              <w:rPr>
                <w:rFonts w:eastAsia="Times New Roman" w:cs="Times New Roman"/>
                <w:color w:val="000000"/>
                <w:kern w:val="0"/>
                <w:sz w:val="22"/>
                <w:szCs w:val="22"/>
                <w:lang w:val="en-US" w:eastAsia="pl-PL"/>
                <w14:ligatures w14:val="none"/>
              </w:rPr>
              <w:t>≥ ±2 µm</w:t>
            </w:r>
          </w:p>
        </w:tc>
      </w:tr>
    </w:tbl>
    <w:p w14:paraId="6BD248AF" w14:textId="77777777" w:rsidR="00683A08" w:rsidRPr="00770FBF" w:rsidRDefault="00683A08" w:rsidP="00683A08">
      <w:pPr>
        <w:pStyle w:val="NormalnyWeb"/>
        <w:spacing w:line="360" w:lineRule="auto"/>
        <w:ind w:firstLine="360"/>
        <w:rPr>
          <w:lang w:val="en-US"/>
        </w:rPr>
      </w:pPr>
    </w:p>
    <w:p w14:paraId="7D3B5782" w14:textId="77777777" w:rsidR="00683A08" w:rsidRPr="00770FBF" w:rsidRDefault="00683A08" w:rsidP="00683A08">
      <w:pPr>
        <w:pStyle w:val="Nagwek2"/>
        <w:numPr>
          <w:ilvl w:val="0"/>
          <w:numId w:val="13"/>
        </w:numPr>
        <w:rPr>
          <w:lang w:eastAsia="pl-PL"/>
        </w:rPr>
      </w:pPr>
      <w:bookmarkStart w:id="16" w:name="_Toc194580269"/>
      <w:bookmarkStart w:id="17" w:name="_Toc199507593"/>
      <w:r w:rsidRPr="00770FBF">
        <w:rPr>
          <w:lang w:eastAsia="pl-PL"/>
        </w:rPr>
        <w:lastRenderedPageBreak/>
        <w:t>Sample visualization</w:t>
      </w:r>
      <w:bookmarkEnd w:id="16"/>
      <w:bookmarkEnd w:id="17"/>
      <w:r w:rsidRPr="00770FBF">
        <w:rPr>
          <w:lang w:eastAsia="pl-PL"/>
        </w:rPr>
        <w:t xml:space="preserve"> </w:t>
      </w:r>
    </w:p>
    <w:p w14:paraId="689912D5" w14:textId="3A1D1F03" w:rsidR="00683A08" w:rsidRPr="00770FBF" w:rsidRDefault="00683A08" w:rsidP="00683A08">
      <w:pPr>
        <w:ind w:firstLine="360"/>
        <w:rPr>
          <w:lang w:val="en-US" w:eastAsia="pl-PL"/>
        </w:rPr>
      </w:pPr>
      <w:r w:rsidRPr="00770FBF">
        <w:rPr>
          <w:lang w:val="en-US" w:eastAsia="pl-PL"/>
        </w:rPr>
        <w:t xml:space="preserve">The microdiffractometer </w:t>
      </w:r>
      <w:r w:rsidR="00FE108C">
        <w:rPr>
          <w:lang w:val="en-US" w:eastAsia="pl-PL"/>
        </w:rPr>
        <w:t>must</w:t>
      </w:r>
      <w:r w:rsidR="00FE108C" w:rsidRPr="00770FBF">
        <w:rPr>
          <w:lang w:val="en-US" w:eastAsia="pl-PL"/>
        </w:rPr>
        <w:t xml:space="preserve"> </w:t>
      </w:r>
      <w:r w:rsidRPr="00770FBF">
        <w:rPr>
          <w:lang w:val="en-US" w:eastAsia="pl-PL"/>
        </w:rPr>
        <w:t xml:space="preserve">be equipped with light systems and on-axis video microscope for sample visualization and centering. The details will be described in following sections. </w:t>
      </w:r>
    </w:p>
    <w:p w14:paraId="537451EA" w14:textId="77777777" w:rsidR="00683A08" w:rsidRPr="00770FBF" w:rsidRDefault="00683A08" w:rsidP="00683A08">
      <w:pPr>
        <w:pStyle w:val="Nagwek2"/>
        <w:ind w:firstLine="360"/>
        <w:rPr>
          <w:lang w:val="en-US" w:eastAsia="pl-PL"/>
        </w:rPr>
      </w:pPr>
      <w:bookmarkStart w:id="18" w:name="_Toc194580270"/>
      <w:bookmarkStart w:id="19" w:name="_Toc199507594"/>
      <w:r w:rsidRPr="00770FBF">
        <w:rPr>
          <w:lang w:val="en-US" w:eastAsia="pl-PL"/>
        </w:rPr>
        <w:t>2.3.1. On-axis video microscope</w:t>
      </w:r>
      <w:bookmarkEnd w:id="18"/>
      <w:bookmarkEnd w:id="19"/>
    </w:p>
    <w:p w14:paraId="3077645C" w14:textId="0A3B8F55" w:rsidR="00683A08" w:rsidRPr="00770FBF" w:rsidRDefault="00683A08" w:rsidP="00683A08">
      <w:pPr>
        <w:rPr>
          <w:lang w:val="en-US" w:eastAsia="pl-PL"/>
        </w:rPr>
      </w:pPr>
      <w:r>
        <w:rPr>
          <w:lang w:val="en-US" w:eastAsia="pl-PL"/>
        </w:rPr>
        <w:tab/>
        <w:t xml:space="preserve">The microdiffractometer </w:t>
      </w:r>
      <w:r w:rsidR="00FE108C">
        <w:rPr>
          <w:lang w:val="en-US" w:eastAsia="pl-PL"/>
        </w:rPr>
        <w:t xml:space="preserve">must </w:t>
      </w:r>
      <w:r>
        <w:rPr>
          <w:lang w:val="en-US" w:eastAsia="pl-PL"/>
        </w:rPr>
        <w:t xml:space="preserve">be equipped with on-axis video microscope with digital high resolution cameras. The magnification should be at least in the range of x2.5 to x30. The access to all zoom levels should be instant. The software needs to be fully integrated with high speed image server for multiple image distribution. </w:t>
      </w:r>
    </w:p>
    <w:p w14:paraId="6F51FBE7" w14:textId="77777777" w:rsidR="00683A08" w:rsidRDefault="00683A08" w:rsidP="00683A08">
      <w:pPr>
        <w:pStyle w:val="Nagwek2"/>
        <w:ind w:firstLine="360"/>
        <w:rPr>
          <w:lang w:val="en-US" w:eastAsia="pl-PL"/>
        </w:rPr>
      </w:pPr>
      <w:bookmarkStart w:id="20" w:name="_Toc194580271"/>
      <w:bookmarkStart w:id="21" w:name="_Toc199507595"/>
      <w:r w:rsidRPr="00770FBF">
        <w:rPr>
          <w:lang w:val="en-US" w:eastAsia="pl-PL"/>
        </w:rPr>
        <w:t>2.3.2. Backlight system</w:t>
      </w:r>
      <w:bookmarkEnd w:id="20"/>
      <w:bookmarkEnd w:id="21"/>
      <w:r w:rsidRPr="00770FBF">
        <w:rPr>
          <w:lang w:val="en-US" w:eastAsia="pl-PL"/>
        </w:rPr>
        <w:t xml:space="preserve"> </w:t>
      </w:r>
    </w:p>
    <w:p w14:paraId="3739CEFF" w14:textId="29F6702B" w:rsidR="00683A08" w:rsidRPr="00770FBF" w:rsidRDefault="00683A08" w:rsidP="00683A08">
      <w:pPr>
        <w:rPr>
          <w:lang w:val="en-US" w:eastAsia="pl-PL"/>
        </w:rPr>
      </w:pPr>
      <w:r>
        <w:rPr>
          <w:lang w:val="en-US" w:eastAsia="pl-PL"/>
        </w:rPr>
        <w:tab/>
        <w:t xml:space="preserve">The system </w:t>
      </w:r>
      <w:r w:rsidR="00FE108C">
        <w:rPr>
          <w:lang w:val="en-US" w:eastAsia="pl-PL"/>
        </w:rPr>
        <w:t xml:space="preserve">must </w:t>
      </w:r>
      <w:r>
        <w:rPr>
          <w:lang w:val="en-US" w:eastAsia="pl-PL"/>
        </w:rPr>
        <w:t xml:space="preserve">be equipped with integrated backlight system with transmitted lighting. The optical fiber guide of length 5 m should be included. </w:t>
      </w:r>
    </w:p>
    <w:p w14:paraId="3FC6CCB3" w14:textId="77777777" w:rsidR="00683A08" w:rsidRPr="00770FBF" w:rsidRDefault="00683A08" w:rsidP="00683A08">
      <w:pPr>
        <w:pStyle w:val="Nagwek2"/>
        <w:ind w:firstLine="360"/>
        <w:rPr>
          <w:lang w:val="en-US" w:eastAsia="pl-PL"/>
        </w:rPr>
      </w:pPr>
      <w:bookmarkStart w:id="22" w:name="_Toc194580272"/>
      <w:bookmarkStart w:id="23" w:name="_Toc199507596"/>
      <w:r w:rsidRPr="00770FBF">
        <w:rPr>
          <w:lang w:val="en-US" w:eastAsia="pl-PL"/>
        </w:rPr>
        <w:t>2.3.3. Frontlight system</w:t>
      </w:r>
      <w:bookmarkEnd w:id="22"/>
      <w:bookmarkEnd w:id="23"/>
      <w:r w:rsidRPr="00770FBF">
        <w:rPr>
          <w:lang w:val="en-US" w:eastAsia="pl-PL"/>
        </w:rPr>
        <w:t xml:space="preserve"> </w:t>
      </w:r>
    </w:p>
    <w:p w14:paraId="48A7D47B" w14:textId="6E39F59D" w:rsidR="00683A08" w:rsidRPr="00770FBF" w:rsidRDefault="00683A08" w:rsidP="00683A08">
      <w:pPr>
        <w:rPr>
          <w:lang w:val="en-US" w:eastAsia="pl-PL"/>
        </w:rPr>
      </w:pPr>
      <w:r>
        <w:rPr>
          <w:lang w:val="en-US" w:eastAsia="pl-PL"/>
        </w:rPr>
        <w:tab/>
        <w:t xml:space="preserve">The system </w:t>
      </w:r>
      <w:r w:rsidR="00FE108C">
        <w:rPr>
          <w:lang w:val="en-US" w:eastAsia="pl-PL"/>
        </w:rPr>
        <w:t xml:space="preserve">must </w:t>
      </w:r>
      <w:r>
        <w:rPr>
          <w:lang w:val="en-US" w:eastAsia="pl-PL"/>
        </w:rPr>
        <w:t xml:space="preserve">be equipped with reflected lightning – frontlight system with two light sources working in reflection. Two optical fiber guides of length 5 m each should be included – one for each light source. The light sources should be mounted to objective head of on-axis video microscope. </w:t>
      </w:r>
    </w:p>
    <w:p w14:paraId="698F4A46" w14:textId="77777777" w:rsidR="00683A08" w:rsidRDefault="00683A08" w:rsidP="00683A08">
      <w:pPr>
        <w:pStyle w:val="Nagwek2"/>
        <w:numPr>
          <w:ilvl w:val="0"/>
          <w:numId w:val="13"/>
        </w:numPr>
        <w:rPr>
          <w:lang w:eastAsia="pl-PL"/>
        </w:rPr>
      </w:pPr>
      <w:bookmarkStart w:id="24" w:name="_Toc194580273"/>
      <w:bookmarkStart w:id="25" w:name="_Toc199507597"/>
      <w:r w:rsidRPr="00770FBF">
        <w:rPr>
          <w:lang w:eastAsia="pl-PL"/>
        </w:rPr>
        <w:t>Kappa goniometer head</w:t>
      </w:r>
      <w:bookmarkEnd w:id="24"/>
      <w:bookmarkEnd w:id="25"/>
      <w:r w:rsidRPr="00770FBF">
        <w:rPr>
          <w:lang w:eastAsia="pl-PL"/>
        </w:rPr>
        <w:t xml:space="preserve"> </w:t>
      </w:r>
    </w:p>
    <w:p w14:paraId="3921463B" w14:textId="409079A0" w:rsidR="00683A08" w:rsidRPr="004C3905" w:rsidRDefault="00683A08" w:rsidP="00683A08">
      <w:pPr>
        <w:ind w:firstLine="360"/>
        <w:rPr>
          <w:lang w:val="en-GB" w:eastAsia="pl-PL"/>
        </w:rPr>
      </w:pPr>
      <w:r>
        <w:rPr>
          <w:lang w:val="en-US" w:eastAsia="pl-PL"/>
        </w:rPr>
        <w:t xml:space="preserve">The diffractometer </w:t>
      </w:r>
      <w:r w:rsidR="00FE108C">
        <w:rPr>
          <w:lang w:val="en-US" w:eastAsia="pl-PL"/>
        </w:rPr>
        <w:t xml:space="preserve">must </w:t>
      </w:r>
      <w:r>
        <w:rPr>
          <w:lang w:val="en-US" w:eastAsia="pl-PL"/>
        </w:rPr>
        <w:t xml:space="preserve">be equipped with kappa goniometer head compatible with the centering stage. The mounting of the head should allow fast and simple head replacement. The head should be automatically recognized by the system by individual digital code or other solution. </w:t>
      </w:r>
      <w:r w:rsidRPr="004C3905">
        <w:rPr>
          <w:lang w:val="en" w:eastAsia="pl-PL"/>
        </w:rPr>
        <w:t>The goniometer head should be adapted for magnetic mounting of samples on SPINE and miniSPINE holders.</w:t>
      </w:r>
      <w:r>
        <w:rPr>
          <w:lang w:val="en" w:eastAsia="pl-PL"/>
        </w:rPr>
        <w:t xml:space="preserve"> </w:t>
      </w:r>
    </w:p>
    <w:p w14:paraId="4C90275D" w14:textId="77777777" w:rsidR="00683A08" w:rsidRPr="000C699F" w:rsidRDefault="00683A08" w:rsidP="00683A08">
      <w:pPr>
        <w:pStyle w:val="Nagwek2"/>
        <w:numPr>
          <w:ilvl w:val="0"/>
          <w:numId w:val="13"/>
        </w:numPr>
        <w:rPr>
          <w:lang w:val="en-GB" w:eastAsia="pl-PL"/>
        </w:rPr>
      </w:pPr>
      <w:bookmarkStart w:id="26" w:name="_Toc194580274"/>
      <w:bookmarkStart w:id="27" w:name="_Toc199507598"/>
      <w:r w:rsidRPr="000C699F">
        <w:rPr>
          <w:lang w:val="en-GB" w:eastAsia="pl-PL"/>
        </w:rPr>
        <w:t>Support mechanism for diamond anvil cell</w:t>
      </w:r>
      <w:bookmarkEnd w:id="26"/>
      <w:bookmarkEnd w:id="27"/>
    </w:p>
    <w:p w14:paraId="51430422" w14:textId="0196D70E" w:rsidR="00683A08" w:rsidRPr="009A60E9" w:rsidRDefault="00683A08" w:rsidP="00683A08">
      <w:pPr>
        <w:ind w:firstLine="360"/>
        <w:rPr>
          <w:lang w:val="en-US" w:eastAsia="pl-PL"/>
        </w:rPr>
      </w:pPr>
      <w:r>
        <w:rPr>
          <w:lang w:val="en-US" w:eastAsia="pl-PL"/>
        </w:rPr>
        <w:t xml:space="preserve">The diffractometer </w:t>
      </w:r>
      <w:r w:rsidR="00FE108C">
        <w:rPr>
          <w:lang w:val="en-US" w:eastAsia="pl-PL"/>
        </w:rPr>
        <w:t xml:space="preserve">must </w:t>
      </w:r>
      <w:r>
        <w:rPr>
          <w:lang w:val="en-US" w:eastAsia="pl-PL"/>
        </w:rPr>
        <w:t xml:space="preserve">be equipped with additional goniometer head dedicated to experiments with diamond anvil cells. The mounting of the head should allow fast and simple head replacement. The head should be automatically recognized by the system by individual digital code or other solution. The details of mounting the DAC on the goniometer head are left to the Contractor and should be presented in Preliminary Design Review stage of the Contract. </w:t>
      </w:r>
    </w:p>
    <w:p w14:paraId="13027508" w14:textId="77777777" w:rsidR="00683A08" w:rsidRDefault="00683A08" w:rsidP="00683A08">
      <w:pPr>
        <w:pStyle w:val="Nagwek2"/>
        <w:numPr>
          <w:ilvl w:val="0"/>
          <w:numId w:val="13"/>
        </w:numPr>
        <w:rPr>
          <w:lang w:eastAsia="pl-PL"/>
        </w:rPr>
      </w:pPr>
      <w:bookmarkStart w:id="28" w:name="_Toc194580275"/>
      <w:bookmarkStart w:id="29" w:name="_Toc199507599"/>
      <w:r w:rsidRPr="00770FBF">
        <w:rPr>
          <w:lang w:eastAsia="pl-PL"/>
        </w:rPr>
        <w:lastRenderedPageBreak/>
        <w:t>Fluorescence detector table</w:t>
      </w:r>
      <w:bookmarkEnd w:id="28"/>
      <w:bookmarkEnd w:id="29"/>
      <w:r w:rsidRPr="00770FBF">
        <w:rPr>
          <w:lang w:eastAsia="pl-PL"/>
        </w:rPr>
        <w:t xml:space="preserve"> </w:t>
      </w:r>
    </w:p>
    <w:p w14:paraId="60505DDD" w14:textId="12C4E518" w:rsidR="00683A08" w:rsidRPr="009A60E9" w:rsidRDefault="00683A08" w:rsidP="00683A08">
      <w:pPr>
        <w:ind w:firstLine="360"/>
        <w:rPr>
          <w:lang w:val="en-GB" w:eastAsia="pl-PL"/>
        </w:rPr>
      </w:pPr>
      <w:r>
        <w:rPr>
          <w:lang w:val="en-US" w:eastAsia="pl-PL"/>
        </w:rPr>
        <w:t xml:space="preserve">The system </w:t>
      </w:r>
      <w:r w:rsidR="00FE108C">
        <w:rPr>
          <w:lang w:val="en-US" w:eastAsia="pl-PL"/>
        </w:rPr>
        <w:t xml:space="preserve">must </w:t>
      </w:r>
      <w:r>
        <w:rPr>
          <w:lang w:val="en-US" w:eastAsia="pl-PL"/>
        </w:rPr>
        <w:t xml:space="preserve">be equipped with fluorescence detector table, pneumatically retracted. </w:t>
      </w:r>
      <w:r w:rsidRPr="009A60E9">
        <w:rPr>
          <w:lang w:val="en" w:eastAsia="pl-PL"/>
        </w:rPr>
        <w:t>The table should be adapted to a specific detector model. Details about the detector will be provided to the contractor at the design stage.</w:t>
      </w:r>
      <w:r>
        <w:rPr>
          <w:lang w:val="en" w:eastAsia="pl-PL"/>
        </w:rPr>
        <w:t xml:space="preserve"> Fluorescence detector should be fully integrated with software and allow the remote control and interlock handling. </w:t>
      </w:r>
    </w:p>
    <w:p w14:paraId="062DDCB4" w14:textId="77777777" w:rsidR="00683A08" w:rsidRDefault="00683A08" w:rsidP="00683A08">
      <w:pPr>
        <w:pStyle w:val="Nagwek2"/>
        <w:numPr>
          <w:ilvl w:val="0"/>
          <w:numId w:val="13"/>
        </w:numPr>
        <w:rPr>
          <w:lang w:eastAsia="pl-PL"/>
        </w:rPr>
      </w:pPr>
      <w:bookmarkStart w:id="30" w:name="_Toc194580276"/>
      <w:bookmarkStart w:id="31" w:name="_Toc199507600"/>
      <w:r w:rsidRPr="00770FBF">
        <w:rPr>
          <w:lang w:eastAsia="pl-PL"/>
        </w:rPr>
        <w:t>X-ray shutter</w:t>
      </w:r>
      <w:bookmarkEnd w:id="30"/>
      <w:bookmarkEnd w:id="31"/>
      <w:r w:rsidRPr="00770FBF">
        <w:rPr>
          <w:lang w:eastAsia="pl-PL"/>
        </w:rPr>
        <w:t xml:space="preserve"> </w:t>
      </w:r>
    </w:p>
    <w:p w14:paraId="28788AB5" w14:textId="26957541" w:rsidR="00683A08" w:rsidRPr="00776267" w:rsidRDefault="00683A08" w:rsidP="00683A08">
      <w:pPr>
        <w:ind w:firstLine="360"/>
        <w:rPr>
          <w:lang w:val="en-US" w:eastAsia="pl-PL"/>
        </w:rPr>
      </w:pPr>
      <w:r>
        <w:rPr>
          <w:lang w:val="en-US" w:eastAsia="pl-PL"/>
        </w:rPr>
        <w:t xml:space="preserve">The system </w:t>
      </w:r>
      <w:r w:rsidR="00FE108C">
        <w:rPr>
          <w:lang w:val="en-US" w:eastAsia="pl-PL"/>
        </w:rPr>
        <w:t>must</w:t>
      </w:r>
      <w:r>
        <w:rPr>
          <w:lang w:val="en-US" w:eastAsia="pl-PL"/>
        </w:rPr>
        <w:t xml:space="preserve"> be equipped with the fast X-ray shutter with frictionless mechanics and should be mounted to the diffractometer assembly frame. The electronics of the shutter should be integrated into diffractometer rack. </w:t>
      </w:r>
    </w:p>
    <w:p w14:paraId="336E06C4" w14:textId="77777777" w:rsidR="00683A08" w:rsidRDefault="00683A08" w:rsidP="00683A08">
      <w:pPr>
        <w:pStyle w:val="Nagwek2"/>
        <w:numPr>
          <w:ilvl w:val="0"/>
          <w:numId w:val="13"/>
        </w:numPr>
        <w:rPr>
          <w:lang w:eastAsia="pl-PL"/>
        </w:rPr>
      </w:pPr>
      <w:bookmarkStart w:id="32" w:name="_Toc194580277"/>
      <w:bookmarkStart w:id="33" w:name="_Toc199507601"/>
      <w:r>
        <w:rPr>
          <w:lang w:eastAsia="pl-PL"/>
        </w:rPr>
        <w:t>Interface box</w:t>
      </w:r>
      <w:bookmarkEnd w:id="32"/>
      <w:bookmarkEnd w:id="33"/>
    </w:p>
    <w:p w14:paraId="1F064BD8" w14:textId="398126DF" w:rsidR="00683A08" w:rsidRPr="00826BC9" w:rsidRDefault="00683A08" w:rsidP="00683A08">
      <w:pPr>
        <w:ind w:firstLine="360"/>
        <w:rPr>
          <w:lang w:val="en-US" w:eastAsia="pl-PL"/>
        </w:rPr>
      </w:pPr>
      <w:r w:rsidRPr="5D73C5BC">
        <w:rPr>
          <w:lang w:val="en-US" w:eastAsia="pl-PL"/>
        </w:rPr>
        <w:t xml:space="preserve">The offer </w:t>
      </w:r>
      <w:r w:rsidR="00FE108C">
        <w:rPr>
          <w:lang w:val="en-US" w:eastAsia="pl-PL"/>
        </w:rPr>
        <w:t>must</w:t>
      </w:r>
      <w:r w:rsidRPr="5D73C5BC">
        <w:rPr>
          <w:lang w:val="en-US" w:eastAsia="pl-PL"/>
        </w:rPr>
        <w:t xml:space="preserve"> include the interface electronics for sample changer robot. The exact model of the robot will be specified at the Preliminary Design stage of the contract. Interface box </w:t>
      </w:r>
      <w:r w:rsidR="00FE108C">
        <w:rPr>
          <w:lang w:val="en-US" w:eastAsia="pl-PL"/>
        </w:rPr>
        <w:t>must</w:t>
      </w:r>
      <w:r w:rsidR="00FE108C" w:rsidRPr="5D73C5BC">
        <w:rPr>
          <w:lang w:val="en-US" w:eastAsia="pl-PL"/>
        </w:rPr>
        <w:t xml:space="preserve"> </w:t>
      </w:r>
      <w:r w:rsidRPr="5D73C5BC">
        <w:rPr>
          <w:lang w:val="en-US" w:eastAsia="pl-PL"/>
        </w:rPr>
        <w:t xml:space="preserve">allow matching the sample changer robot signals with diffractometer control signals and allow the synchronization between sample changing robot, cryo-retraction table and shutter. </w:t>
      </w:r>
    </w:p>
    <w:p w14:paraId="4F98719D" w14:textId="77777777" w:rsidR="00683A08" w:rsidRPr="00683A08" w:rsidRDefault="00683A08" w:rsidP="00683A08">
      <w:pPr>
        <w:pStyle w:val="Nagwek2"/>
        <w:numPr>
          <w:ilvl w:val="0"/>
          <w:numId w:val="13"/>
        </w:numPr>
      </w:pPr>
      <w:bookmarkStart w:id="34" w:name="_Toc194580278"/>
      <w:bookmarkStart w:id="35" w:name="_Toc199507602"/>
      <w:r w:rsidRPr="00683A08">
        <w:t>Alignment laser</w:t>
      </w:r>
      <w:bookmarkEnd w:id="34"/>
      <w:bookmarkEnd w:id="35"/>
      <w:r w:rsidRPr="00683A08">
        <w:t xml:space="preserve"> </w:t>
      </w:r>
    </w:p>
    <w:p w14:paraId="264B6D34" w14:textId="2ABD0657" w:rsidR="00683A08" w:rsidRPr="00826BC9" w:rsidRDefault="00683A08" w:rsidP="00683A08">
      <w:pPr>
        <w:ind w:firstLine="360"/>
        <w:rPr>
          <w:lang w:val="en-US" w:eastAsia="pl-PL"/>
        </w:rPr>
      </w:pPr>
      <w:r>
        <w:rPr>
          <w:lang w:val="en-US" w:eastAsia="pl-PL"/>
        </w:rPr>
        <w:t xml:space="preserve">For the alignment purposes, it is necessary to equip the system with the green alignment laser for alignment purposes without x-rays. The alignment laser should allow the manual co-axial alignment with 5 degrees of freedom (x, y, z, pitch, yaw). The laser </w:t>
      </w:r>
      <w:r w:rsidR="00FE108C">
        <w:rPr>
          <w:lang w:val="en-US" w:eastAsia="pl-PL"/>
        </w:rPr>
        <w:t xml:space="preserve">must </w:t>
      </w:r>
      <w:r>
        <w:rPr>
          <w:lang w:val="en-US" w:eastAsia="pl-PL"/>
        </w:rPr>
        <w:t xml:space="preserve">have the possibility to be mounted on the frame of microdiffractometer. </w:t>
      </w:r>
    </w:p>
    <w:p w14:paraId="36A91D36" w14:textId="77777777" w:rsidR="00683A08" w:rsidRDefault="00683A08" w:rsidP="00683A08">
      <w:pPr>
        <w:pStyle w:val="Nagwek2"/>
        <w:numPr>
          <w:ilvl w:val="0"/>
          <w:numId w:val="13"/>
        </w:numPr>
        <w:rPr>
          <w:lang w:eastAsia="pl-PL"/>
        </w:rPr>
      </w:pPr>
      <w:bookmarkStart w:id="36" w:name="_Toc194580279"/>
      <w:bookmarkStart w:id="37" w:name="_Toc199507603"/>
      <w:r w:rsidRPr="00770FBF">
        <w:rPr>
          <w:lang w:eastAsia="pl-PL"/>
        </w:rPr>
        <w:t>Control</w:t>
      </w:r>
      <w:bookmarkEnd w:id="36"/>
      <w:bookmarkEnd w:id="37"/>
      <w:r w:rsidRPr="00770FBF">
        <w:rPr>
          <w:lang w:eastAsia="pl-PL"/>
        </w:rPr>
        <w:t xml:space="preserve"> </w:t>
      </w:r>
    </w:p>
    <w:p w14:paraId="10D278BC" w14:textId="30A8FC77" w:rsidR="00683A08" w:rsidRPr="00FF4513" w:rsidRDefault="00683A08" w:rsidP="00683A08">
      <w:pPr>
        <w:pStyle w:val="Legenda"/>
        <w:keepNext/>
        <w:spacing w:line="360" w:lineRule="auto"/>
        <w:ind w:firstLine="360"/>
        <w:rPr>
          <w:lang w:val="en-GB"/>
        </w:rPr>
      </w:pPr>
      <w:r w:rsidRPr="00FF4513">
        <w:rPr>
          <w:i w:val="0"/>
          <w:iCs w:val="0"/>
          <w:color w:val="auto"/>
          <w:sz w:val="24"/>
          <w:szCs w:val="24"/>
          <w:lang w:val="en-US" w:eastAsia="pl-PL"/>
        </w:rPr>
        <w:t xml:space="preserve">The </w:t>
      </w:r>
      <w:r w:rsidR="00FE108C">
        <w:rPr>
          <w:i w:val="0"/>
          <w:iCs w:val="0"/>
          <w:color w:val="auto"/>
          <w:sz w:val="24"/>
          <w:szCs w:val="24"/>
          <w:lang w:val="en-US" w:eastAsia="pl-PL"/>
        </w:rPr>
        <w:t>Contractor</w:t>
      </w:r>
      <w:r w:rsidR="00FE108C" w:rsidRPr="00FF4513">
        <w:rPr>
          <w:i w:val="0"/>
          <w:iCs w:val="0"/>
          <w:color w:val="auto"/>
          <w:sz w:val="24"/>
          <w:szCs w:val="24"/>
          <w:lang w:val="en-US" w:eastAsia="pl-PL"/>
        </w:rPr>
        <w:t xml:space="preserve"> </w:t>
      </w:r>
      <w:r w:rsidRPr="00FF4513">
        <w:rPr>
          <w:i w:val="0"/>
          <w:iCs w:val="0"/>
          <w:color w:val="auto"/>
          <w:sz w:val="24"/>
          <w:szCs w:val="24"/>
          <w:lang w:val="en-US" w:eastAsia="pl-PL"/>
        </w:rPr>
        <w:t>is required to follow the technological requirements described in Control System Standard for New Accelerator, Front End and Beamline Components (see Appendix CS0) and in Motion Control Standard (see Appendix CS1).</w:t>
      </w:r>
      <w:r>
        <w:rPr>
          <w:i w:val="0"/>
          <w:iCs w:val="0"/>
          <w:color w:val="auto"/>
          <w:sz w:val="24"/>
          <w:szCs w:val="24"/>
          <w:lang w:val="en-US" w:eastAsia="pl-PL"/>
        </w:rPr>
        <w:t xml:space="preserve"> The embedded control parameters are described in Table 4. </w:t>
      </w:r>
    </w:p>
    <w:p w14:paraId="756E8F26" w14:textId="77777777" w:rsidR="00683A08" w:rsidRPr="00115775" w:rsidRDefault="00683A08" w:rsidP="00115775">
      <w:pPr>
        <w:pStyle w:val="Legenda"/>
        <w:keepNext/>
        <w:spacing w:line="360" w:lineRule="auto"/>
        <w:jc w:val="center"/>
        <w:rPr>
          <w:sz w:val="24"/>
          <w:szCs w:val="24"/>
          <w:lang w:val="en-GB"/>
        </w:rPr>
      </w:pPr>
      <w:r w:rsidRPr="00115775">
        <w:rPr>
          <w:sz w:val="24"/>
          <w:szCs w:val="24"/>
          <w:lang w:val="en-GB"/>
        </w:rPr>
        <w:t xml:space="preserve">Table </w:t>
      </w:r>
      <w:r w:rsidRPr="00115775">
        <w:rPr>
          <w:sz w:val="24"/>
          <w:szCs w:val="24"/>
        </w:rPr>
        <w:fldChar w:fldCharType="begin"/>
      </w:r>
      <w:r w:rsidRPr="00115775">
        <w:rPr>
          <w:sz w:val="24"/>
          <w:szCs w:val="24"/>
          <w:lang w:val="en-GB"/>
        </w:rPr>
        <w:instrText xml:space="preserve"> SEQ Table \* ARABIC </w:instrText>
      </w:r>
      <w:r w:rsidRPr="00115775">
        <w:rPr>
          <w:sz w:val="24"/>
          <w:szCs w:val="24"/>
        </w:rPr>
        <w:fldChar w:fldCharType="separate"/>
      </w:r>
      <w:r w:rsidRPr="00115775">
        <w:rPr>
          <w:noProof/>
          <w:sz w:val="24"/>
          <w:szCs w:val="24"/>
          <w:lang w:val="en-GB"/>
        </w:rPr>
        <w:t>4</w:t>
      </w:r>
      <w:r w:rsidRPr="00115775">
        <w:rPr>
          <w:sz w:val="24"/>
          <w:szCs w:val="24"/>
        </w:rPr>
        <w:fldChar w:fldCharType="end"/>
      </w:r>
      <w:r w:rsidRPr="00115775">
        <w:rPr>
          <w:sz w:val="24"/>
          <w:szCs w:val="24"/>
          <w:lang w:val="en-GB"/>
        </w:rPr>
        <w:t>. Embedded Control parameters.</w:t>
      </w:r>
    </w:p>
    <w:tbl>
      <w:tblPr>
        <w:tblStyle w:val="Tabela-Siatka"/>
        <w:tblW w:w="0" w:type="auto"/>
        <w:jc w:val="center"/>
        <w:tblLook w:val="04A0" w:firstRow="1" w:lastRow="0" w:firstColumn="1" w:lastColumn="0" w:noHBand="0" w:noVBand="1"/>
      </w:tblPr>
      <w:tblGrid>
        <w:gridCol w:w="1252"/>
        <w:gridCol w:w="4505"/>
      </w:tblGrid>
      <w:tr w:rsidR="00683A08" w:rsidRPr="00FA4AC1" w14:paraId="7421C178" w14:textId="77777777" w:rsidTr="007C5CC7">
        <w:trPr>
          <w:jc w:val="center"/>
        </w:trPr>
        <w:tc>
          <w:tcPr>
            <w:tcW w:w="0" w:type="auto"/>
          </w:tcPr>
          <w:p w14:paraId="2D769041" w14:textId="77777777" w:rsidR="00683A08" w:rsidRDefault="00683A08" w:rsidP="007C5CC7">
            <w:pPr>
              <w:rPr>
                <w:lang w:val="en-US" w:eastAsia="pl-PL"/>
              </w:rPr>
            </w:pPr>
            <w:r>
              <w:rPr>
                <w:lang w:val="en-US" w:eastAsia="pl-PL"/>
              </w:rPr>
              <w:t>Technology</w:t>
            </w:r>
          </w:p>
        </w:tc>
        <w:tc>
          <w:tcPr>
            <w:tcW w:w="0" w:type="auto"/>
          </w:tcPr>
          <w:p w14:paraId="3888D35F" w14:textId="77777777" w:rsidR="00683A08" w:rsidRDefault="00683A08" w:rsidP="007C5CC7">
            <w:pPr>
              <w:rPr>
                <w:lang w:val="en-US" w:eastAsia="pl-PL"/>
              </w:rPr>
            </w:pPr>
            <w:r>
              <w:rPr>
                <w:lang w:val="en-US" w:eastAsia="pl-PL"/>
              </w:rPr>
              <w:t>PowerBrick including new generation amplifiers</w:t>
            </w:r>
          </w:p>
        </w:tc>
      </w:tr>
      <w:tr w:rsidR="00683A08" w14:paraId="755A5961" w14:textId="77777777" w:rsidTr="007C5CC7">
        <w:trPr>
          <w:jc w:val="center"/>
        </w:trPr>
        <w:tc>
          <w:tcPr>
            <w:tcW w:w="0" w:type="auto"/>
          </w:tcPr>
          <w:p w14:paraId="4E081041" w14:textId="77777777" w:rsidR="00683A08" w:rsidRDefault="00683A08" w:rsidP="007C5CC7">
            <w:pPr>
              <w:rPr>
                <w:lang w:val="en-US" w:eastAsia="pl-PL"/>
              </w:rPr>
            </w:pPr>
            <w:r>
              <w:rPr>
                <w:lang w:val="en-US" w:eastAsia="pl-PL"/>
              </w:rPr>
              <w:t>CPU</w:t>
            </w:r>
          </w:p>
        </w:tc>
        <w:tc>
          <w:tcPr>
            <w:tcW w:w="0" w:type="auto"/>
          </w:tcPr>
          <w:p w14:paraId="26646A9A" w14:textId="77777777" w:rsidR="00683A08" w:rsidRDefault="00683A08" w:rsidP="007C5CC7">
            <w:pPr>
              <w:rPr>
                <w:lang w:val="en-US" w:eastAsia="pl-PL"/>
              </w:rPr>
            </w:pPr>
            <w:r>
              <w:rPr>
                <w:lang w:val="en-US" w:eastAsia="pl-PL"/>
              </w:rPr>
              <w:t>1 GHz</w:t>
            </w:r>
          </w:p>
        </w:tc>
      </w:tr>
      <w:tr w:rsidR="00683A08" w14:paraId="7CD2A5C4" w14:textId="77777777" w:rsidTr="007C5CC7">
        <w:trPr>
          <w:jc w:val="center"/>
        </w:trPr>
        <w:tc>
          <w:tcPr>
            <w:tcW w:w="0" w:type="auto"/>
          </w:tcPr>
          <w:p w14:paraId="2623CA5D" w14:textId="77777777" w:rsidR="00683A08" w:rsidRDefault="00683A08" w:rsidP="007C5CC7">
            <w:pPr>
              <w:rPr>
                <w:lang w:val="en-US" w:eastAsia="pl-PL"/>
              </w:rPr>
            </w:pPr>
            <w:r>
              <w:rPr>
                <w:lang w:val="en-US" w:eastAsia="pl-PL"/>
              </w:rPr>
              <w:t>Ethernet</w:t>
            </w:r>
          </w:p>
        </w:tc>
        <w:tc>
          <w:tcPr>
            <w:tcW w:w="0" w:type="auto"/>
          </w:tcPr>
          <w:p w14:paraId="46170975" w14:textId="77777777" w:rsidR="00683A08" w:rsidRDefault="00683A08" w:rsidP="007C5CC7">
            <w:pPr>
              <w:rPr>
                <w:lang w:val="en-US" w:eastAsia="pl-PL"/>
              </w:rPr>
            </w:pPr>
            <w:r>
              <w:rPr>
                <w:lang w:val="en-US" w:eastAsia="pl-PL"/>
              </w:rPr>
              <w:t>1 GB/s</w:t>
            </w:r>
          </w:p>
        </w:tc>
      </w:tr>
    </w:tbl>
    <w:p w14:paraId="382E4F5B" w14:textId="77777777" w:rsidR="00683A08" w:rsidRPr="00B66215" w:rsidRDefault="00683A08" w:rsidP="00683A08">
      <w:pPr>
        <w:rPr>
          <w:lang w:val="en-US" w:eastAsia="pl-PL"/>
        </w:rPr>
      </w:pPr>
    </w:p>
    <w:p w14:paraId="63A73956" w14:textId="7C97ADC0" w:rsidR="00683A08" w:rsidRPr="00115775" w:rsidRDefault="00115775" w:rsidP="00061743">
      <w:pPr>
        <w:pStyle w:val="Nagwek1"/>
      </w:pPr>
      <w:bookmarkStart w:id="38" w:name="_Toc199507604"/>
      <w:r>
        <w:lastRenderedPageBreak/>
        <w:t xml:space="preserve">3. </w:t>
      </w:r>
      <w:bookmarkStart w:id="39" w:name="_Toc194580280"/>
      <w:r w:rsidR="00683A08" w:rsidRPr="00115775">
        <w:t>Additional conditions</w:t>
      </w:r>
      <w:bookmarkEnd w:id="39"/>
      <w:r w:rsidR="00FE108C">
        <w:t xml:space="preserve"> – applies to part 2</w:t>
      </w:r>
      <w:bookmarkEnd w:id="38"/>
    </w:p>
    <w:p w14:paraId="3135C830" w14:textId="77777777" w:rsidR="00683A08" w:rsidRDefault="00683A08" w:rsidP="00683A08">
      <w:pPr>
        <w:pStyle w:val="Nagwek2"/>
        <w:numPr>
          <w:ilvl w:val="0"/>
          <w:numId w:val="14"/>
        </w:numPr>
        <w:rPr>
          <w:lang w:eastAsia="pl-PL"/>
        </w:rPr>
      </w:pPr>
      <w:bookmarkStart w:id="40" w:name="_Toc194580282"/>
      <w:bookmarkStart w:id="41" w:name="_Toc199507605"/>
      <w:r>
        <w:rPr>
          <w:lang w:eastAsia="pl-PL"/>
        </w:rPr>
        <w:t>Final design</w:t>
      </w:r>
      <w:bookmarkEnd w:id="40"/>
      <w:bookmarkEnd w:id="41"/>
    </w:p>
    <w:p w14:paraId="774DA915" w14:textId="7D7E97FE" w:rsidR="00683A08" w:rsidRDefault="00683A08" w:rsidP="00683A08">
      <w:pPr>
        <w:ind w:firstLine="708"/>
        <w:rPr>
          <w:rFonts w:cs="Times New Roman"/>
          <w:lang w:val="en-GB"/>
        </w:rPr>
      </w:pPr>
      <w:r w:rsidRPr="005E454D">
        <w:rPr>
          <w:rFonts w:cs="Times New Roman"/>
          <w:lang w:val="en-GB"/>
        </w:rPr>
        <w:t xml:space="preserve">The Ordering Party </w:t>
      </w:r>
      <w:r w:rsidR="00FE108C">
        <w:rPr>
          <w:rFonts w:cs="Times New Roman"/>
          <w:lang w:val="en-GB"/>
        </w:rPr>
        <w:t>require</w:t>
      </w:r>
      <w:r w:rsidR="00FE108C" w:rsidRPr="005E454D">
        <w:rPr>
          <w:rFonts w:cs="Times New Roman"/>
          <w:lang w:val="en-GB"/>
        </w:rPr>
        <w:t xml:space="preserve"> </w:t>
      </w:r>
      <w:r w:rsidRPr="005E454D">
        <w:rPr>
          <w:rFonts w:cs="Times New Roman"/>
          <w:lang w:val="en-GB"/>
        </w:rPr>
        <w:t xml:space="preserve">the Contractor to submit a preliminary design report (PDR) and next a final design report (FDR). </w:t>
      </w:r>
      <w:r w:rsidR="00FE108C">
        <w:rPr>
          <w:rFonts w:cs="Times New Roman"/>
          <w:lang w:val="en-GB"/>
        </w:rPr>
        <w:t>The Ordering Party require</w:t>
      </w:r>
      <w:r>
        <w:rPr>
          <w:rFonts w:cs="Times New Roman"/>
          <w:lang w:val="en-GB"/>
        </w:rPr>
        <w:t xml:space="preserve"> that the final design will be presented </w:t>
      </w:r>
      <w:r w:rsidR="00FE108C">
        <w:rPr>
          <w:rFonts w:cs="Times New Roman"/>
          <w:lang w:val="en-GB"/>
        </w:rPr>
        <w:t xml:space="preserve">by the Contractor </w:t>
      </w:r>
      <w:r>
        <w:rPr>
          <w:rFonts w:cs="Times New Roman"/>
          <w:lang w:val="en-GB"/>
        </w:rPr>
        <w:t xml:space="preserve">no later than 8 weeks upon signing the contract. </w:t>
      </w:r>
    </w:p>
    <w:p w14:paraId="795C8E0D" w14:textId="77777777" w:rsidR="00683A08" w:rsidRPr="00F80212" w:rsidRDefault="00683A08" w:rsidP="00683A08">
      <w:pPr>
        <w:ind w:firstLine="708"/>
        <w:rPr>
          <w:lang w:val="en-US"/>
        </w:rPr>
      </w:pPr>
      <w:r w:rsidRPr="00F80212">
        <w:rPr>
          <w:lang w:val="en-US"/>
        </w:rPr>
        <w:t xml:space="preserve">The final project should include at least the following: </w:t>
      </w:r>
    </w:p>
    <w:p w14:paraId="6EC279A3" w14:textId="77777777" w:rsidR="00683A08" w:rsidRPr="00F80212" w:rsidRDefault="00683A08" w:rsidP="00683A08">
      <w:pPr>
        <w:numPr>
          <w:ilvl w:val="0"/>
          <w:numId w:val="9"/>
        </w:numPr>
        <w:rPr>
          <w:lang w:val="en-US"/>
        </w:rPr>
      </w:pPr>
      <w:r w:rsidRPr="00F80212">
        <w:rPr>
          <w:lang w:val="en-US"/>
        </w:rPr>
        <w:t>2D and 3D drawings (STEP)</w:t>
      </w:r>
    </w:p>
    <w:p w14:paraId="35C1583A" w14:textId="77777777" w:rsidR="00683A08" w:rsidRPr="00F80212" w:rsidRDefault="00683A08" w:rsidP="00683A08">
      <w:pPr>
        <w:numPr>
          <w:ilvl w:val="0"/>
          <w:numId w:val="9"/>
        </w:numPr>
        <w:rPr>
          <w:lang w:val="en-US"/>
        </w:rPr>
      </w:pPr>
      <w:r w:rsidRPr="00F80212">
        <w:rPr>
          <w:lang w:val="en-US"/>
        </w:rPr>
        <w:t xml:space="preserve">List of all components for delivery </w:t>
      </w:r>
    </w:p>
    <w:p w14:paraId="55628635" w14:textId="77777777" w:rsidR="00683A08" w:rsidRPr="00F80212" w:rsidRDefault="00683A08" w:rsidP="00683A08">
      <w:pPr>
        <w:numPr>
          <w:ilvl w:val="0"/>
          <w:numId w:val="9"/>
        </w:numPr>
        <w:rPr>
          <w:lang w:val="en-GB"/>
        </w:rPr>
      </w:pPr>
      <w:r w:rsidRPr="00F80212">
        <w:rPr>
          <w:lang w:val="en"/>
        </w:rPr>
        <w:t>Types of motors with encoders and connection diagram</w:t>
      </w:r>
    </w:p>
    <w:p w14:paraId="3FC370A0" w14:textId="77777777" w:rsidR="00683A08" w:rsidRPr="00F80212" w:rsidRDefault="00683A08" w:rsidP="00683A08">
      <w:pPr>
        <w:numPr>
          <w:ilvl w:val="0"/>
          <w:numId w:val="9"/>
        </w:numPr>
        <w:rPr>
          <w:lang w:val="en-US"/>
        </w:rPr>
      </w:pPr>
      <w:r w:rsidRPr="00F80212">
        <w:rPr>
          <w:lang w:val="en-US"/>
        </w:rPr>
        <w:t>Parameters of motor movements (see Appendix CS1)</w:t>
      </w:r>
    </w:p>
    <w:p w14:paraId="47C48E01" w14:textId="77777777" w:rsidR="00683A08" w:rsidRPr="00F80212" w:rsidRDefault="00683A08" w:rsidP="00683A08">
      <w:pPr>
        <w:numPr>
          <w:ilvl w:val="0"/>
          <w:numId w:val="9"/>
        </w:numPr>
        <w:rPr>
          <w:lang w:val="en-US"/>
        </w:rPr>
      </w:pPr>
      <w:r w:rsidRPr="00F80212">
        <w:rPr>
          <w:lang w:val="en-US"/>
        </w:rPr>
        <w:t xml:space="preserve">Description of testing procedure </w:t>
      </w:r>
      <w:r>
        <w:rPr>
          <w:lang w:val="en-US"/>
        </w:rPr>
        <w:t>(FAT and SAT)</w:t>
      </w:r>
    </w:p>
    <w:p w14:paraId="5A889B12" w14:textId="77777777" w:rsidR="00683A08" w:rsidRPr="00F80212" w:rsidRDefault="00683A08" w:rsidP="00683A08">
      <w:pPr>
        <w:numPr>
          <w:ilvl w:val="0"/>
          <w:numId w:val="9"/>
        </w:numPr>
        <w:rPr>
          <w:lang w:val="en-US"/>
        </w:rPr>
      </w:pPr>
      <w:r w:rsidRPr="00F80212">
        <w:rPr>
          <w:lang w:val="en-US"/>
        </w:rPr>
        <w:t xml:space="preserve">Transport and unpacking instructions </w:t>
      </w:r>
    </w:p>
    <w:p w14:paraId="45B1F228" w14:textId="77777777" w:rsidR="00683A08" w:rsidRPr="00F80212" w:rsidRDefault="00683A08" w:rsidP="00683A08">
      <w:pPr>
        <w:numPr>
          <w:ilvl w:val="0"/>
          <w:numId w:val="9"/>
        </w:numPr>
        <w:rPr>
          <w:lang w:val="en-US"/>
        </w:rPr>
      </w:pPr>
      <w:r w:rsidRPr="00F80212">
        <w:rPr>
          <w:lang w:val="en-US"/>
        </w:rPr>
        <w:t xml:space="preserve"> Manual movements and transport instructions</w:t>
      </w:r>
    </w:p>
    <w:p w14:paraId="56A3C298" w14:textId="77777777" w:rsidR="00683A08" w:rsidRPr="000C699F" w:rsidRDefault="00683A08" w:rsidP="00683A08">
      <w:pPr>
        <w:pStyle w:val="Nagwek2"/>
        <w:numPr>
          <w:ilvl w:val="0"/>
          <w:numId w:val="14"/>
        </w:numPr>
        <w:rPr>
          <w:lang w:val="en-GB" w:eastAsia="pl-PL"/>
        </w:rPr>
      </w:pPr>
      <w:bookmarkStart w:id="42" w:name="_Toc194580283"/>
      <w:bookmarkStart w:id="43" w:name="_Toc199507606"/>
      <w:r w:rsidRPr="000C699F">
        <w:rPr>
          <w:lang w:val="en-GB" w:eastAsia="pl-PL"/>
        </w:rPr>
        <w:t>Delivery, installation and Site Acceptance Tests</w:t>
      </w:r>
      <w:bookmarkEnd w:id="42"/>
      <w:bookmarkEnd w:id="43"/>
    </w:p>
    <w:p w14:paraId="636D27CB" w14:textId="37B4DB73" w:rsidR="00683A08" w:rsidRDefault="00366595" w:rsidP="5D73C5BC">
      <w:pPr>
        <w:ind w:firstLine="708"/>
        <w:rPr>
          <w:rFonts w:cs="Times New Roman"/>
          <w:lang w:val="en-US"/>
        </w:rPr>
      </w:pPr>
      <w:r w:rsidRPr="5D73C5BC">
        <w:rPr>
          <w:rFonts w:cs="Times New Roman"/>
          <w:lang w:val="en-US"/>
        </w:rPr>
        <w:t>Delivery of the Subject of the Order specified for part 2 will take place in accordance with the attached contract template</w:t>
      </w:r>
      <w:r w:rsidR="00683A08" w:rsidRPr="5D73C5BC">
        <w:rPr>
          <w:rFonts w:cs="Times New Roman"/>
          <w:lang w:val="en-US"/>
        </w:rPr>
        <w:t xml:space="preserve">. For the on-site installation and testing, it is expected the presence of two specialized </w:t>
      </w:r>
      <w:r w:rsidR="00FE108C">
        <w:rPr>
          <w:rFonts w:cs="Times New Roman"/>
          <w:lang w:val="en-US"/>
        </w:rPr>
        <w:t>persons</w:t>
      </w:r>
      <w:r w:rsidR="00FE108C" w:rsidRPr="5D73C5BC">
        <w:rPr>
          <w:rFonts w:cs="Times New Roman"/>
          <w:lang w:val="en-US"/>
        </w:rPr>
        <w:t xml:space="preserve"> </w:t>
      </w:r>
      <w:r w:rsidR="00683A08" w:rsidRPr="5D73C5BC">
        <w:rPr>
          <w:rFonts w:cs="Times New Roman"/>
          <w:lang w:val="en-US"/>
        </w:rPr>
        <w:t>for 2 weeks (10 working days).</w:t>
      </w:r>
      <w:r w:rsidR="7905298F" w:rsidRPr="5D73C5BC">
        <w:rPr>
          <w:rFonts w:cs="Times New Roman"/>
          <w:lang w:val="en-US"/>
        </w:rPr>
        <w:t xml:space="preserve"> The diffractometer will be installed on a dedicated diffractometer support table, which is the subject of another tender. Details regarding the table will be provided to the Contractor after the tender for the experimental tables is resolved.</w:t>
      </w:r>
    </w:p>
    <w:p w14:paraId="7A0B523D" w14:textId="77777777" w:rsidR="00115775" w:rsidRPr="00366595" w:rsidRDefault="00115775">
      <w:pPr>
        <w:spacing w:line="278" w:lineRule="auto"/>
        <w:jc w:val="left"/>
        <w:rPr>
          <w:rFonts w:eastAsiaTheme="majorEastAsia" w:cstheme="majorBidi"/>
          <w:b/>
          <w:bCs/>
          <w:sz w:val="40"/>
          <w:szCs w:val="40"/>
          <w:lang w:val="en-GB"/>
        </w:rPr>
      </w:pPr>
      <w:bookmarkStart w:id="44" w:name="_Toc194580284"/>
      <w:r w:rsidRPr="00366595">
        <w:rPr>
          <w:lang w:val="en-GB"/>
        </w:rPr>
        <w:br w:type="page"/>
      </w:r>
    </w:p>
    <w:p w14:paraId="6D9C8A22" w14:textId="20A1CB92" w:rsidR="00683A08" w:rsidRPr="00115775" w:rsidRDefault="00683A08" w:rsidP="00061743">
      <w:pPr>
        <w:pStyle w:val="Nagwek1"/>
      </w:pPr>
      <w:bookmarkStart w:id="45" w:name="_Toc199507607"/>
      <w:r w:rsidRPr="00115775">
        <w:lastRenderedPageBreak/>
        <w:t>Appendices</w:t>
      </w:r>
      <w:bookmarkEnd w:id="44"/>
      <w:bookmarkEnd w:id="45"/>
    </w:p>
    <w:p w14:paraId="296C3011" w14:textId="7ED661CD" w:rsidR="00683A08" w:rsidRDefault="00683A08" w:rsidP="00683A08">
      <w:pPr>
        <w:ind w:firstLine="360"/>
        <w:rPr>
          <w:rFonts w:eastAsia="Times New Roman" w:cs="Times New Roman"/>
          <w:lang w:val="en-GB"/>
        </w:rPr>
      </w:pPr>
      <w:r w:rsidRPr="5D73C5BC">
        <w:rPr>
          <w:rFonts w:eastAsia="Times New Roman" w:cs="Times New Roman"/>
          <w:lang w:val="en-GB"/>
        </w:rPr>
        <w:t>The reference documents are appended with the following attachments. The Attachments include technological descriptions used in SOLARIS, which the Contractor shall observe and comply with. Attachments constitute an integral part of the Terms of Reference.</w:t>
      </w:r>
      <w:r w:rsidR="3DAD6C79" w:rsidRPr="5D73C5BC">
        <w:rPr>
          <w:rFonts w:eastAsia="Times New Roman" w:cs="Times New Roman"/>
          <w:lang w:val="en-GB"/>
        </w:rPr>
        <w:t xml:space="preserve"> </w:t>
      </w:r>
    </w:p>
    <w:p w14:paraId="367CBD70" w14:textId="77777777" w:rsidR="00683A08" w:rsidRPr="00626BA3" w:rsidRDefault="00683A08" w:rsidP="00683A08">
      <w:pPr>
        <w:rPr>
          <w:rFonts w:cs="Times New Roman"/>
          <w:lang w:val="en-GB"/>
        </w:rPr>
      </w:pPr>
    </w:p>
    <w:p w14:paraId="6A7C538B" w14:textId="77777777" w:rsidR="00683A08" w:rsidRPr="00626BA3" w:rsidRDefault="00683A08" w:rsidP="00683A08">
      <w:pPr>
        <w:numPr>
          <w:ilvl w:val="0"/>
          <w:numId w:val="10"/>
        </w:numPr>
        <w:contextualSpacing/>
        <w:rPr>
          <w:rFonts w:cs="Times New Roman"/>
          <w:lang w:val="en-US"/>
        </w:rPr>
      </w:pPr>
      <w:r w:rsidRPr="00626BA3">
        <w:rPr>
          <w:rFonts w:cs="Times New Roman"/>
          <w:lang w:val="en-US"/>
        </w:rPr>
        <w:t>Appendix ALIGN - Guidelines in field of alignment</w:t>
      </w:r>
    </w:p>
    <w:p w14:paraId="3E9DDDE1" w14:textId="77777777" w:rsidR="00683A08" w:rsidRPr="00626BA3" w:rsidRDefault="00683A08" w:rsidP="00683A08">
      <w:pPr>
        <w:numPr>
          <w:ilvl w:val="0"/>
          <w:numId w:val="10"/>
        </w:numPr>
        <w:contextualSpacing/>
        <w:rPr>
          <w:rFonts w:cs="Times New Roman"/>
          <w:lang w:val="en-US"/>
        </w:rPr>
      </w:pPr>
      <w:r w:rsidRPr="00626BA3">
        <w:rPr>
          <w:rFonts w:cs="Times New Roman"/>
          <w:lang w:val="en-US"/>
        </w:rPr>
        <w:t>Appendix CS0-SOLARIS Control System Standard</w:t>
      </w:r>
    </w:p>
    <w:p w14:paraId="4955C72C" w14:textId="77777777" w:rsidR="00683A08" w:rsidRDefault="00683A08" w:rsidP="00683A08">
      <w:pPr>
        <w:numPr>
          <w:ilvl w:val="0"/>
          <w:numId w:val="10"/>
        </w:numPr>
        <w:contextualSpacing/>
        <w:rPr>
          <w:rFonts w:cs="Times New Roman"/>
          <w:lang w:val="en-US"/>
        </w:rPr>
      </w:pPr>
      <w:r w:rsidRPr="00626BA3">
        <w:rPr>
          <w:rFonts w:cs="Times New Roman"/>
          <w:lang w:val="en-US"/>
        </w:rPr>
        <w:t>Appendix CS1 - Motion Control Standard</w:t>
      </w:r>
    </w:p>
    <w:p w14:paraId="0D375853" w14:textId="70FD5DB2" w:rsidR="00FA4AC1" w:rsidRDefault="00FA4AC1" w:rsidP="00683A08">
      <w:pPr>
        <w:numPr>
          <w:ilvl w:val="0"/>
          <w:numId w:val="10"/>
        </w:numPr>
        <w:contextualSpacing/>
        <w:rPr>
          <w:rFonts w:cs="Times New Roman"/>
          <w:lang w:val="en-US"/>
        </w:rPr>
      </w:pPr>
      <w:r>
        <w:rPr>
          <w:rFonts w:cs="Times New Roman"/>
          <w:lang w:val="en-US"/>
        </w:rPr>
        <w:t xml:space="preserve">Appendix CS2 - </w:t>
      </w:r>
      <w:r w:rsidRPr="00FA4AC1">
        <w:rPr>
          <w:rFonts w:cs="Times New Roman"/>
          <w:lang w:val="en-US"/>
        </w:rPr>
        <w:t>Detailed responsibility matrix for Control System tasks</w:t>
      </w:r>
    </w:p>
    <w:p w14:paraId="00B9F9CD" w14:textId="4AC94F93" w:rsidR="00FA4AC1" w:rsidRPr="00626BA3" w:rsidRDefault="00FA4AC1" w:rsidP="00683A08">
      <w:pPr>
        <w:numPr>
          <w:ilvl w:val="0"/>
          <w:numId w:val="10"/>
        </w:numPr>
        <w:contextualSpacing/>
        <w:rPr>
          <w:rFonts w:cs="Times New Roman"/>
          <w:lang w:val="en-US"/>
        </w:rPr>
      </w:pPr>
      <w:r>
        <w:rPr>
          <w:rFonts w:cs="Times New Roman"/>
          <w:lang w:val="en-US"/>
        </w:rPr>
        <w:t>Appendix CS3 – Standard elements</w:t>
      </w:r>
    </w:p>
    <w:p w14:paraId="7AC6B2EE" w14:textId="77777777" w:rsidR="00683A08" w:rsidRPr="00780D70" w:rsidRDefault="00683A08" w:rsidP="00683A08">
      <w:pPr>
        <w:numPr>
          <w:ilvl w:val="0"/>
          <w:numId w:val="10"/>
        </w:numPr>
        <w:contextualSpacing/>
        <w:rPr>
          <w:rFonts w:cs="Times New Roman"/>
          <w:lang w:val="en-US"/>
        </w:rPr>
      </w:pPr>
      <w:r w:rsidRPr="00626BA3">
        <w:rPr>
          <w:rFonts w:cs="Times New Roman"/>
          <w:lang w:val="en-US"/>
        </w:rPr>
        <w:t>Appendix MECH1 – Mechanics</w:t>
      </w:r>
    </w:p>
    <w:p w14:paraId="33CB4D65" w14:textId="77777777" w:rsidR="00683A08" w:rsidRDefault="00683A08" w:rsidP="00683A08">
      <w:pPr>
        <w:numPr>
          <w:ilvl w:val="0"/>
          <w:numId w:val="10"/>
        </w:numPr>
        <w:contextualSpacing/>
        <w:rPr>
          <w:rFonts w:cs="Times New Roman"/>
          <w:lang w:val="en-US"/>
        </w:rPr>
      </w:pPr>
      <w:r>
        <w:rPr>
          <w:rFonts w:cs="Times New Roman"/>
          <w:lang w:val="en-US"/>
        </w:rPr>
        <w:t xml:space="preserve">Appendix MECH 3 - </w:t>
      </w:r>
      <w:r w:rsidRPr="004654DD">
        <w:rPr>
          <w:rFonts w:cs="Times New Roman"/>
          <w:lang w:val="en-US"/>
        </w:rPr>
        <w:t>Description of the ID03 Beamline area</w:t>
      </w:r>
    </w:p>
    <w:p w14:paraId="1964FC20" w14:textId="77777777" w:rsidR="00683A08" w:rsidRPr="002D2292" w:rsidRDefault="00683A08" w:rsidP="00683A08">
      <w:pPr>
        <w:numPr>
          <w:ilvl w:val="0"/>
          <w:numId w:val="10"/>
        </w:numPr>
        <w:contextualSpacing/>
        <w:rPr>
          <w:rFonts w:cs="Times New Roman"/>
          <w:lang w:val="en-US"/>
        </w:rPr>
      </w:pPr>
      <w:r>
        <w:rPr>
          <w:rFonts w:cs="Times New Roman"/>
          <w:lang w:val="en-US"/>
        </w:rPr>
        <w:t xml:space="preserve">Appendix MECH 4 - </w:t>
      </w:r>
      <w:r w:rsidRPr="004654DD">
        <w:rPr>
          <w:rFonts w:cs="Times New Roman"/>
          <w:lang w:val="en-US"/>
        </w:rPr>
        <w:t>D</w:t>
      </w:r>
      <w:r>
        <w:rPr>
          <w:rFonts w:cs="Times New Roman"/>
          <w:lang w:val="en-US"/>
        </w:rPr>
        <w:t>imensions</w:t>
      </w:r>
      <w:r w:rsidRPr="004654DD">
        <w:rPr>
          <w:rFonts w:cs="Times New Roman"/>
          <w:lang w:val="en-US"/>
        </w:rPr>
        <w:t xml:space="preserve"> of the ID03 Beamline area</w:t>
      </w:r>
    </w:p>
    <w:p w14:paraId="522928B2" w14:textId="77777777" w:rsidR="00683A08" w:rsidRPr="00626BA3" w:rsidRDefault="00683A08" w:rsidP="00683A08">
      <w:pPr>
        <w:numPr>
          <w:ilvl w:val="0"/>
          <w:numId w:val="10"/>
        </w:numPr>
        <w:contextualSpacing/>
        <w:rPr>
          <w:rFonts w:cs="Times New Roman"/>
          <w:lang w:val="en-US"/>
        </w:rPr>
      </w:pPr>
      <w:r w:rsidRPr="578954DA">
        <w:rPr>
          <w:rFonts w:cs="Times New Roman"/>
          <w:lang w:val="en-US"/>
        </w:rPr>
        <w:t>Appendix SOURCE - synchrotron radiation source parameters</w:t>
      </w:r>
    </w:p>
    <w:p w14:paraId="100B2309" w14:textId="77777777" w:rsidR="00683A08" w:rsidRPr="002D2292" w:rsidRDefault="00683A08" w:rsidP="00683A08">
      <w:pPr>
        <w:numPr>
          <w:ilvl w:val="0"/>
          <w:numId w:val="10"/>
        </w:numPr>
        <w:contextualSpacing/>
        <w:rPr>
          <w:rFonts w:cs="Times New Roman"/>
          <w:lang w:val="en-US"/>
        </w:rPr>
      </w:pPr>
      <w:r w:rsidRPr="002D2292">
        <w:rPr>
          <w:rFonts w:cs="Times New Roman"/>
          <w:lang w:val="en-US"/>
        </w:rPr>
        <w:t>Appendix SOURCE-ID03 3-pole wiggler parameters</w:t>
      </w:r>
    </w:p>
    <w:p w14:paraId="164BD91A" w14:textId="77777777" w:rsidR="00683A08" w:rsidRPr="00626BA3" w:rsidRDefault="00683A08" w:rsidP="00683A08">
      <w:pPr>
        <w:numPr>
          <w:ilvl w:val="0"/>
          <w:numId w:val="10"/>
        </w:numPr>
        <w:contextualSpacing/>
        <w:rPr>
          <w:rFonts w:cs="Times New Roman"/>
          <w:lang w:val="en-US"/>
        </w:rPr>
      </w:pPr>
      <w:r w:rsidRPr="00626BA3">
        <w:rPr>
          <w:rFonts w:cs="Times New Roman"/>
          <w:lang w:val="en-US"/>
        </w:rPr>
        <w:t>Appendix WAT-CA1 compressed air basic standards_2.2</w:t>
      </w:r>
    </w:p>
    <w:p w14:paraId="76D48333" w14:textId="77777777" w:rsidR="00683A08" w:rsidRPr="00626BA3" w:rsidRDefault="00683A08" w:rsidP="00683A08">
      <w:pPr>
        <w:numPr>
          <w:ilvl w:val="0"/>
          <w:numId w:val="10"/>
        </w:numPr>
        <w:contextualSpacing/>
        <w:rPr>
          <w:rFonts w:cs="Times New Roman"/>
          <w:lang w:val="en-US"/>
        </w:rPr>
      </w:pPr>
      <w:r w:rsidRPr="00626BA3">
        <w:rPr>
          <w:rFonts w:cs="Times New Roman"/>
          <w:lang w:val="en-US"/>
        </w:rPr>
        <w:t>Appendix WAT-CW1 cooling water basic standards_2.2</w:t>
      </w:r>
    </w:p>
    <w:p w14:paraId="421B0A6F" w14:textId="77777777" w:rsidR="00683A08" w:rsidRPr="00683A08" w:rsidRDefault="00683A08" w:rsidP="00683A08">
      <w:pPr>
        <w:rPr>
          <w:lang w:val="en-US"/>
        </w:rPr>
      </w:pPr>
    </w:p>
    <w:p w14:paraId="1F4674C4" w14:textId="77777777" w:rsidR="009D580E" w:rsidRPr="00F77C71" w:rsidRDefault="009D580E">
      <w:pPr>
        <w:rPr>
          <w:lang w:val="en-GB"/>
        </w:rPr>
      </w:pPr>
    </w:p>
    <w:sectPr w:rsidR="009D580E" w:rsidRPr="00F77C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41874"/>
    <w:multiLevelType w:val="hybridMultilevel"/>
    <w:tmpl w:val="41EC491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15:restartNumberingAfterBreak="0">
    <w:nsid w:val="099708E2"/>
    <w:multiLevelType w:val="hybridMultilevel"/>
    <w:tmpl w:val="C7D274C6"/>
    <w:lvl w:ilvl="0" w:tplc="4518139E">
      <w:start w:val="1"/>
      <w:numFmt w:val="decimal"/>
      <w:lvlText w:val="%1."/>
      <w:lvlJc w:val="left"/>
      <w:pPr>
        <w:ind w:left="720" w:hanging="360"/>
      </w:pPr>
      <w:rPr>
        <w:rFonts w:hint="default"/>
        <w:b w:val="0"/>
        <w:bCs w:val="0"/>
      </w:rPr>
    </w:lvl>
    <w:lvl w:ilvl="1" w:tplc="8BBAD168">
      <w:start w:val="1"/>
      <w:numFmt w:val="decimal"/>
      <w:lvlText w:val="2.%2."/>
      <w:lvlJc w:val="left"/>
      <w:pPr>
        <w:ind w:left="1440" w:hanging="360"/>
      </w:pPr>
      <w:rPr>
        <w:rFonts w:hint="default"/>
        <w:b w:val="0"/>
        <w:bCs w:val="0"/>
        <w:sz w:val="28"/>
        <w:szCs w:val="36"/>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E6F6B"/>
    <w:multiLevelType w:val="multilevel"/>
    <w:tmpl w:val="4FFE1D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5C72CAC"/>
    <w:multiLevelType w:val="hybridMultilevel"/>
    <w:tmpl w:val="C3DA29AA"/>
    <w:lvl w:ilvl="0" w:tplc="43905F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E3582C"/>
    <w:multiLevelType w:val="hybridMultilevel"/>
    <w:tmpl w:val="B75A7B0C"/>
    <w:lvl w:ilvl="0" w:tplc="80D8720E">
      <w:start w:val="3"/>
      <w:numFmt w:val="bullet"/>
      <w:lvlText w:val="-"/>
      <w:lvlJc w:val="left"/>
      <w:pPr>
        <w:ind w:left="1080" w:hanging="360"/>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3ED35BE5"/>
    <w:multiLevelType w:val="hybridMultilevel"/>
    <w:tmpl w:val="18BC505E"/>
    <w:lvl w:ilvl="0" w:tplc="80D8720E">
      <w:start w:val="3"/>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3D918AC"/>
    <w:multiLevelType w:val="hybridMultilevel"/>
    <w:tmpl w:val="660EA8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F4A07DF"/>
    <w:multiLevelType w:val="hybridMultilevel"/>
    <w:tmpl w:val="5678D1B6"/>
    <w:lvl w:ilvl="0" w:tplc="8BBAD168">
      <w:start w:val="1"/>
      <w:numFmt w:val="decimal"/>
      <w:lvlText w:val="2.%1."/>
      <w:lvlJc w:val="left"/>
      <w:pPr>
        <w:ind w:left="720" w:hanging="360"/>
      </w:pPr>
      <w:rPr>
        <w:rFonts w:hint="default"/>
        <w:b w:val="0"/>
        <w:bCs w:val="0"/>
        <w:sz w:val="28"/>
        <w:szCs w:val="36"/>
      </w:rPr>
    </w:lvl>
    <w:lvl w:ilvl="1" w:tplc="04150019">
      <w:start w:val="1"/>
      <w:numFmt w:val="lowerLetter"/>
      <w:lvlText w:val="%2."/>
      <w:lvlJc w:val="left"/>
      <w:pPr>
        <w:ind w:left="1440" w:hanging="360"/>
      </w:p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4A2165"/>
    <w:multiLevelType w:val="hybridMultilevel"/>
    <w:tmpl w:val="6FAED2FE"/>
    <w:lvl w:ilvl="0" w:tplc="6C7A14BA">
      <w:start w:val="3"/>
      <w:numFmt w:val="bullet"/>
      <w:lvlText w:val="-"/>
      <w:lvlJc w:val="left"/>
      <w:pPr>
        <w:ind w:left="720" w:hanging="360"/>
      </w:pPr>
      <w:rPr>
        <w:rFonts w:ascii="Aptos" w:eastAsiaTheme="minorHAnsi" w:hAnsi="Apto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885D43"/>
    <w:multiLevelType w:val="multilevel"/>
    <w:tmpl w:val="1AD0E444"/>
    <w:lvl w:ilvl="0">
      <w:start w:val="3"/>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604624CE"/>
    <w:multiLevelType w:val="hybridMultilevel"/>
    <w:tmpl w:val="4F22535C"/>
    <w:lvl w:ilvl="0" w:tplc="1272E04C">
      <w:start w:val="3"/>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49E4179"/>
    <w:multiLevelType w:val="hybridMultilevel"/>
    <w:tmpl w:val="7B226972"/>
    <w:lvl w:ilvl="0" w:tplc="0C2C6E3E">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ABD2425"/>
    <w:multiLevelType w:val="hybridMultilevel"/>
    <w:tmpl w:val="9A5096BC"/>
    <w:lvl w:ilvl="0" w:tplc="8C70270A">
      <w:start w:val="1"/>
      <w:numFmt w:val="decimal"/>
      <w:lvlText w:val="2.%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9810811">
    <w:abstractNumId w:val="2"/>
  </w:num>
  <w:num w:numId="2" w16cid:durableId="2117091351">
    <w:abstractNumId w:val="0"/>
  </w:num>
  <w:num w:numId="3" w16cid:durableId="662973767">
    <w:abstractNumId w:val="5"/>
  </w:num>
  <w:num w:numId="4" w16cid:durableId="1930044852">
    <w:abstractNumId w:val="4"/>
  </w:num>
  <w:num w:numId="5" w16cid:durableId="167448454">
    <w:abstractNumId w:val="1"/>
  </w:num>
  <w:num w:numId="6" w16cid:durableId="576014015">
    <w:abstractNumId w:val="7"/>
  </w:num>
  <w:num w:numId="7" w16cid:durableId="1675109242">
    <w:abstractNumId w:val="9"/>
  </w:num>
  <w:num w:numId="8" w16cid:durableId="140584835">
    <w:abstractNumId w:val="10"/>
  </w:num>
  <w:num w:numId="9" w16cid:durableId="1793786710">
    <w:abstractNumId w:val="8"/>
  </w:num>
  <w:num w:numId="10" w16cid:durableId="20726577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597104">
    <w:abstractNumId w:val="6"/>
  </w:num>
  <w:num w:numId="12" w16cid:durableId="1607730600">
    <w:abstractNumId w:val="1"/>
    <w:lvlOverride w:ilvl="0">
      <w:startOverride w:val="1"/>
    </w:lvlOverride>
  </w:num>
  <w:num w:numId="13" w16cid:durableId="1214806970">
    <w:abstractNumId w:val="12"/>
  </w:num>
  <w:num w:numId="14" w16cid:durableId="644236578">
    <w:abstractNumId w:val="11"/>
  </w:num>
  <w:num w:numId="15" w16cid:durableId="9156748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B36"/>
    <w:rsid w:val="00061743"/>
    <w:rsid w:val="000C699F"/>
    <w:rsid w:val="00115775"/>
    <w:rsid w:val="001E7EAE"/>
    <w:rsid w:val="00236917"/>
    <w:rsid w:val="002B039C"/>
    <w:rsid w:val="002D6F3C"/>
    <w:rsid w:val="002F7789"/>
    <w:rsid w:val="00366595"/>
    <w:rsid w:val="003C0605"/>
    <w:rsid w:val="0040132B"/>
    <w:rsid w:val="005609F1"/>
    <w:rsid w:val="005A5D24"/>
    <w:rsid w:val="005E0EC8"/>
    <w:rsid w:val="00614D7F"/>
    <w:rsid w:val="00683A08"/>
    <w:rsid w:val="006F647D"/>
    <w:rsid w:val="008251DE"/>
    <w:rsid w:val="00981871"/>
    <w:rsid w:val="009D580E"/>
    <w:rsid w:val="00AD6551"/>
    <w:rsid w:val="00B60B36"/>
    <w:rsid w:val="00BE119A"/>
    <w:rsid w:val="00CA1B43"/>
    <w:rsid w:val="00DA0509"/>
    <w:rsid w:val="00F5390F"/>
    <w:rsid w:val="00F6661D"/>
    <w:rsid w:val="00F67E82"/>
    <w:rsid w:val="00F77C71"/>
    <w:rsid w:val="00F91E8E"/>
    <w:rsid w:val="00FA4AC1"/>
    <w:rsid w:val="00FE108C"/>
    <w:rsid w:val="06C012B3"/>
    <w:rsid w:val="0ABADF92"/>
    <w:rsid w:val="0E2792C0"/>
    <w:rsid w:val="1464653F"/>
    <w:rsid w:val="17CF283E"/>
    <w:rsid w:val="1ED15B5F"/>
    <w:rsid w:val="21DE9C53"/>
    <w:rsid w:val="3DAD6C79"/>
    <w:rsid w:val="44FA08F6"/>
    <w:rsid w:val="507CAE3B"/>
    <w:rsid w:val="58E406E5"/>
    <w:rsid w:val="5D73C5BC"/>
    <w:rsid w:val="5E244DBC"/>
    <w:rsid w:val="61A361D1"/>
    <w:rsid w:val="6ACCD81B"/>
    <w:rsid w:val="6BD7D21D"/>
    <w:rsid w:val="7905298F"/>
    <w:rsid w:val="7D17EB23"/>
    <w:rsid w:val="7EF2C3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FCAFB"/>
  <w15:chartTrackingRefBased/>
  <w15:docId w15:val="{B1560B28-EAFE-4DE5-BECC-E8AF136A1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7789"/>
    <w:pPr>
      <w:spacing w:line="360" w:lineRule="auto"/>
      <w:jc w:val="both"/>
    </w:pPr>
    <w:rPr>
      <w:rFonts w:ascii="Times New Roman" w:hAnsi="Times New Roman"/>
    </w:rPr>
  </w:style>
  <w:style w:type="paragraph" w:styleId="Nagwek1">
    <w:name w:val="heading 1"/>
    <w:basedOn w:val="Normalny"/>
    <w:next w:val="Normalny"/>
    <w:link w:val="Nagwek1Znak"/>
    <w:autoRedefine/>
    <w:uiPriority w:val="9"/>
    <w:qFormat/>
    <w:rsid w:val="00061743"/>
    <w:pPr>
      <w:keepNext/>
      <w:keepLines/>
      <w:spacing w:before="360" w:after="80"/>
      <w:outlineLvl w:val="0"/>
    </w:pPr>
    <w:rPr>
      <w:rFonts w:eastAsiaTheme="majorEastAsia" w:cstheme="majorBidi"/>
      <w:sz w:val="40"/>
      <w:szCs w:val="40"/>
      <w:lang w:val="en-US" w:eastAsia="pl-PL"/>
    </w:rPr>
  </w:style>
  <w:style w:type="paragraph" w:styleId="Nagwek2">
    <w:name w:val="heading 2"/>
    <w:basedOn w:val="Normalny"/>
    <w:next w:val="Normalny"/>
    <w:link w:val="Nagwek2Znak"/>
    <w:uiPriority w:val="9"/>
    <w:unhideWhenUsed/>
    <w:qFormat/>
    <w:rsid w:val="002F7789"/>
    <w:pPr>
      <w:keepNext/>
      <w:keepLines/>
      <w:spacing w:before="160" w:after="80"/>
      <w:outlineLvl w:val="1"/>
    </w:pPr>
    <w:rPr>
      <w:rFonts w:eastAsiaTheme="majorEastAsia" w:cstheme="majorBidi"/>
      <w:sz w:val="32"/>
      <w:szCs w:val="32"/>
    </w:rPr>
  </w:style>
  <w:style w:type="paragraph" w:styleId="Nagwek3">
    <w:name w:val="heading 3"/>
    <w:basedOn w:val="Normalny"/>
    <w:next w:val="Normalny"/>
    <w:link w:val="Nagwek3Znak"/>
    <w:uiPriority w:val="9"/>
    <w:semiHidden/>
    <w:unhideWhenUsed/>
    <w:qFormat/>
    <w:rsid w:val="00B60B3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60B3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60B3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60B3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60B3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60B3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60B3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61743"/>
    <w:rPr>
      <w:rFonts w:ascii="Times New Roman" w:eastAsiaTheme="majorEastAsia" w:hAnsi="Times New Roman" w:cstheme="majorBidi"/>
      <w:sz w:val="40"/>
      <w:szCs w:val="40"/>
      <w:lang w:val="en-US" w:eastAsia="pl-PL"/>
    </w:rPr>
  </w:style>
  <w:style w:type="character" w:customStyle="1" w:styleId="Nagwek2Znak">
    <w:name w:val="Nagłówek 2 Znak"/>
    <w:basedOn w:val="Domylnaczcionkaakapitu"/>
    <w:link w:val="Nagwek2"/>
    <w:uiPriority w:val="9"/>
    <w:rsid w:val="002F7789"/>
    <w:rPr>
      <w:rFonts w:ascii="Times New Roman" w:eastAsiaTheme="majorEastAsia" w:hAnsi="Times New Roman" w:cstheme="majorBidi"/>
      <w:sz w:val="32"/>
      <w:szCs w:val="32"/>
    </w:rPr>
  </w:style>
  <w:style w:type="character" w:customStyle="1" w:styleId="Nagwek3Znak">
    <w:name w:val="Nagłówek 3 Znak"/>
    <w:basedOn w:val="Domylnaczcionkaakapitu"/>
    <w:link w:val="Nagwek3"/>
    <w:uiPriority w:val="9"/>
    <w:semiHidden/>
    <w:rsid w:val="00B60B3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60B3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60B3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60B3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60B3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60B3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60B36"/>
    <w:rPr>
      <w:rFonts w:eastAsiaTheme="majorEastAsia" w:cstheme="majorBidi"/>
      <w:color w:val="272727" w:themeColor="text1" w:themeTint="D8"/>
    </w:rPr>
  </w:style>
  <w:style w:type="paragraph" w:styleId="Tytu">
    <w:name w:val="Title"/>
    <w:basedOn w:val="Normalny"/>
    <w:next w:val="Normalny"/>
    <w:link w:val="TytuZnak"/>
    <w:uiPriority w:val="10"/>
    <w:qFormat/>
    <w:rsid w:val="00B60B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60B3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60B3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60B3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60B36"/>
    <w:pPr>
      <w:spacing w:before="160"/>
      <w:jc w:val="center"/>
    </w:pPr>
    <w:rPr>
      <w:i/>
      <w:iCs/>
      <w:color w:val="404040" w:themeColor="text1" w:themeTint="BF"/>
    </w:rPr>
  </w:style>
  <w:style w:type="character" w:customStyle="1" w:styleId="CytatZnak">
    <w:name w:val="Cytat Znak"/>
    <w:basedOn w:val="Domylnaczcionkaakapitu"/>
    <w:link w:val="Cytat"/>
    <w:uiPriority w:val="29"/>
    <w:rsid w:val="00B60B36"/>
    <w:rPr>
      <w:i/>
      <w:iCs/>
      <w:color w:val="404040" w:themeColor="text1" w:themeTint="BF"/>
    </w:rPr>
  </w:style>
  <w:style w:type="paragraph" w:styleId="Akapitzlist">
    <w:name w:val="List Paragraph"/>
    <w:basedOn w:val="Normalny"/>
    <w:uiPriority w:val="34"/>
    <w:qFormat/>
    <w:rsid w:val="00B60B36"/>
    <w:pPr>
      <w:ind w:left="720"/>
      <w:contextualSpacing/>
    </w:pPr>
  </w:style>
  <w:style w:type="character" w:styleId="Wyrnienieintensywne">
    <w:name w:val="Intense Emphasis"/>
    <w:basedOn w:val="Domylnaczcionkaakapitu"/>
    <w:uiPriority w:val="21"/>
    <w:qFormat/>
    <w:rsid w:val="00B60B36"/>
    <w:rPr>
      <w:i/>
      <w:iCs/>
      <w:color w:val="0F4761" w:themeColor="accent1" w:themeShade="BF"/>
    </w:rPr>
  </w:style>
  <w:style w:type="paragraph" w:styleId="Cytatintensywny">
    <w:name w:val="Intense Quote"/>
    <w:basedOn w:val="Normalny"/>
    <w:next w:val="Normalny"/>
    <w:link w:val="CytatintensywnyZnak"/>
    <w:uiPriority w:val="30"/>
    <w:qFormat/>
    <w:rsid w:val="00B60B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60B36"/>
    <w:rPr>
      <w:i/>
      <w:iCs/>
      <w:color w:val="0F4761" w:themeColor="accent1" w:themeShade="BF"/>
    </w:rPr>
  </w:style>
  <w:style w:type="character" w:styleId="Odwoanieintensywne">
    <w:name w:val="Intense Reference"/>
    <w:basedOn w:val="Domylnaczcionkaakapitu"/>
    <w:uiPriority w:val="32"/>
    <w:qFormat/>
    <w:rsid w:val="00B60B36"/>
    <w:rPr>
      <w:b/>
      <w:bCs/>
      <w:smallCaps/>
      <w:color w:val="0F4761" w:themeColor="accent1" w:themeShade="BF"/>
      <w:spacing w:val="5"/>
    </w:rPr>
  </w:style>
  <w:style w:type="table" w:styleId="Tabela-Siatka">
    <w:name w:val="Table Grid"/>
    <w:basedOn w:val="Standardowy"/>
    <w:uiPriority w:val="59"/>
    <w:rsid w:val="002F778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istabela">
    <w:name w:val="Podpis tabela"/>
    <w:link w:val="PodpistabelaZnak"/>
    <w:qFormat/>
    <w:rsid w:val="002F7789"/>
    <w:pPr>
      <w:keepNext/>
      <w:spacing w:line="360" w:lineRule="auto"/>
      <w:jc w:val="center"/>
    </w:pPr>
    <w:rPr>
      <w:rFonts w:ascii="Times New Roman" w:hAnsi="Times New Roman"/>
      <w:i/>
      <w:iCs/>
      <w:color w:val="0E2841" w:themeColor="text2"/>
      <w:szCs w:val="18"/>
      <w:lang w:val="en-GB"/>
    </w:rPr>
  </w:style>
  <w:style w:type="character" w:customStyle="1" w:styleId="PodpistabelaZnak">
    <w:name w:val="Podpis tabela Znak"/>
    <w:basedOn w:val="Domylnaczcionkaakapitu"/>
    <w:link w:val="Podpistabela"/>
    <w:rsid w:val="002F7789"/>
    <w:rPr>
      <w:rFonts w:ascii="Times New Roman" w:hAnsi="Times New Roman"/>
      <w:i/>
      <w:iCs/>
      <w:color w:val="0E2841" w:themeColor="text2"/>
      <w:szCs w:val="18"/>
      <w:lang w:val="en-GB"/>
    </w:rPr>
  </w:style>
  <w:style w:type="paragraph" w:styleId="Legenda">
    <w:name w:val="caption"/>
    <w:basedOn w:val="Normalny"/>
    <w:next w:val="Normalny"/>
    <w:uiPriority w:val="35"/>
    <w:unhideWhenUsed/>
    <w:qFormat/>
    <w:rsid w:val="00683A08"/>
    <w:pPr>
      <w:spacing w:after="200" w:line="240" w:lineRule="auto"/>
    </w:pPr>
    <w:rPr>
      <w:i/>
      <w:iCs/>
      <w:color w:val="0E2841" w:themeColor="text2"/>
      <w:sz w:val="18"/>
      <w:szCs w:val="18"/>
    </w:rPr>
  </w:style>
  <w:style w:type="paragraph" w:styleId="NormalnyWeb">
    <w:name w:val="Normal (Web)"/>
    <w:basedOn w:val="Normalny"/>
    <w:uiPriority w:val="99"/>
    <w:semiHidden/>
    <w:unhideWhenUsed/>
    <w:rsid w:val="00683A08"/>
    <w:pPr>
      <w:spacing w:before="100" w:beforeAutospacing="1" w:after="100" w:afterAutospacing="1" w:line="240" w:lineRule="auto"/>
      <w:jc w:val="left"/>
    </w:pPr>
    <w:rPr>
      <w:rFonts w:eastAsia="Times New Roman" w:cs="Times New Roman"/>
      <w:kern w:val="0"/>
      <w:lang w:eastAsia="pl-PL"/>
      <w14:ligatures w14:val="none"/>
    </w:rPr>
  </w:style>
  <w:style w:type="character" w:styleId="Pogrubienie">
    <w:name w:val="Strong"/>
    <w:basedOn w:val="Domylnaczcionkaakapitu"/>
    <w:uiPriority w:val="22"/>
    <w:qFormat/>
    <w:rsid w:val="00683A08"/>
    <w:rPr>
      <w:b/>
      <w:bCs/>
    </w:rPr>
  </w:style>
  <w:style w:type="table" w:styleId="Tabelasiatki7kolorowa">
    <w:name w:val="Grid Table 7 Colorful"/>
    <w:basedOn w:val="Standardowy"/>
    <w:uiPriority w:val="52"/>
    <w:rsid w:val="00683A08"/>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Nagwekspisutreci">
    <w:name w:val="TOC Heading"/>
    <w:basedOn w:val="Nagwek1"/>
    <w:next w:val="Normalny"/>
    <w:uiPriority w:val="39"/>
    <w:unhideWhenUsed/>
    <w:qFormat/>
    <w:rsid w:val="00683A08"/>
    <w:pPr>
      <w:spacing w:before="240" w:after="0" w:line="259" w:lineRule="auto"/>
      <w:jc w:val="left"/>
      <w:outlineLvl w:val="9"/>
    </w:pPr>
    <w:rPr>
      <w:rFonts w:asciiTheme="majorHAnsi" w:hAnsiTheme="majorHAnsi"/>
      <w:color w:val="0F4761" w:themeColor="accent1" w:themeShade="BF"/>
      <w:kern w:val="0"/>
      <w:sz w:val="32"/>
      <w:szCs w:val="32"/>
      <w:lang w:val="pl-PL"/>
      <w14:ligatures w14:val="none"/>
    </w:rPr>
  </w:style>
  <w:style w:type="paragraph" w:styleId="Spistreci1">
    <w:name w:val="toc 1"/>
    <w:basedOn w:val="Normalny"/>
    <w:next w:val="Normalny"/>
    <w:autoRedefine/>
    <w:uiPriority w:val="39"/>
    <w:unhideWhenUsed/>
    <w:rsid w:val="00683A08"/>
    <w:pPr>
      <w:spacing w:after="100"/>
    </w:pPr>
  </w:style>
  <w:style w:type="paragraph" w:styleId="Spistreci2">
    <w:name w:val="toc 2"/>
    <w:basedOn w:val="Normalny"/>
    <w:next w:val="Normalny"/>
    <w:autoRedefine/>
    <w:uiPriority w:val="39"/>
    <w:unhideWhenUsed/>
    <w:rsid w:val="00683A08"/>
    <w:pPr>
      <w:spacing w:after="100"/>
      <w:ind w:left="240"/>
    </w:pPr>
  </w:style>
  <w:style w:type="character" w:styleId="Hipercze">
    <w:name w:val="Hyperlink"/>
    <w:basedOn w:val="Domylnaczcionkaakapitu"/>
    <w:uiPriority w:val="99"/>
    <w:unhideWhenUsed/>
    <w:rsid w:val="00683A08"/>
    <w:rPr>
      <w:color w:val="467886" w:themeColor="hyperlink"/>
      <w:u w:val="single"/>
    </w:rPr>
  </w:style>
  <w:style w:type="paragraph" w:styleId="Poprawka">
    <w:name w:val="Revision"/>
    <w:hidden/>
    <w:uiPriority w:val="99"/>
    <w:semiHidden/>
    <w:rsid w:val="00FE108C"/>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443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603C6-B6DF-4778-AFDF-EE60C2A45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2883</Words>
  <Characters>17298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Sławek</dc:creator>
  <cp:keywords/>
  <dc:description/>
  <cp:lastModifiedBy>Małgorzata Moras</cp:lastModifiedBy>
  <cp:revision>4</cp:revision>
  <dcterms:created xsi:type="dcterms:W3CDTF">2025-05-30T12:01:00Z</dcterms:created>
  <dcterms:modified xsi:type="dcterms:W3CDTF">2025-07-18T12:16:00Z</dcterms:modified>
</cp:coreProperties>
</file>